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78778E" w:rsidRDefault="0078778E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69 сессии 4 созыва Совета Октябрьского сельского поселения</w:t>
      </w:r>
    </w:p>
    <w:p w:rsidR="0078778E" w:rsidRDefault="0078778E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8778E" w:rsidRDefault="0078778E" w:rsidP="007877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12.12.</w:t>
      </w:r>
      <w:bookmarkStart w:id="0" w:name="_GoBack"/>
      <w:r>
        <w:rPr>
          <w:rFonts w:ascii="Times New Roman" w:eastAsia="Times New Roman" w:hAnsi="Times New Roman" w:cs="Times New Roman"/>
          <w:sz w:val="28"/>
        </w:rPr>
        <w:t>2024</w:t>
      </w:r>
      <w:bookmarkEnd w:id="0"/>
      <w:r>
        <w:rPr>
          <w:rFonts w:ascii="Times New Roman" w:eastAsia="Times New Roman" w:hAnsi="Times New Roman" w:cs="Times New Roman"/>
          <w:sz w:val="28"/>
        </w:rPr>
        <w:t xml:space="preserve"> года                                                                                            № 2</w:t>
      </w:r>
    </w:p>
    <w:p w:rsidR="00937266" w:rsidRDefault="00937266" w:rsidP="009372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850620" w:rsidRDefault="00850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(в редакции от </w:t>
      </w:r>
      <w:r w:rsidR="00A7067D">
        <w:rPr>
          <w:rFonts w:ascii="Times New Roman" w:eastAsia="Times New Roman" w:hAnsi="Times New Roman" w:cs="Times New Roman"/>
          <w:sz w:val="28"/>
        </w:rPr>
        <w:t>24.04</w:t>
      </w:r>
      <w:r>
        <w:rPr>
          <w:rFonts w:ascii="Times New Roman" w:eastAsia="Times New Roman" w:hAnsi="Times New Roman" w:cs="Times New Roman"/>
          <w:sz w:val="28"/>
        </w:rPr>
        <w:t xml:space="preserve">.2025 года № </w:t>
      </w:r>
      <w:r w:rsidR="00A7067D">
        <w:rPr>
          <w:rFonts w:ascii="Times New Roman" w:eastAsia="Times New Roman" w:hAnsi="Times New Roman" w:cs="Times New Roman"/>
          <w:sz w:val="28"/>
        </w:rPr>
        <w:t>106</w:t>
      </w:r>
      <w:r>
        <w:rPr>
          <w:rFonts w:ascii="Times New Roman" w:eastAsia="Times New Roman" w:hAnsi="Times New Roman" w:cs="Times New Roman"/>
          <w:sz w:val="28"/>
        </w:rPr>
        <w:t>)</w:t>
      </w:r>
    </w:p>
    <w:p w:rsidR="00850620" w:rsidRDefault="00850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4E146B">
        <w:rPr>
          <w:rFonts w:ascii="Times New Roman" w:hAnsi="Times New Roman" w:cs="Times New Roman"/>
          <w:sz w:val="28"/>
          <w:szCs w:val="28"/>
        </w:rPr>
        <w:t xml:space="preserve">13 289 936,42 </w:t>
      </w:r>
      <w:r w:rsidR="00F67C47">
        <w:rPr>
          <w:rFonts w:ascii="Times New Roman" w:hAnsi="Times New Roman" w:cs="Times New Roman"/>
          <w:sz w:val="28"/>
          <w:szCs w:val="28"/>
        </w:rPr>
        <w:t>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A7067D">
        <w:rPr>
          <w:rFonts w:ascii="Times New Roman" w:hAnsi="Times New Roman" w:cs="Times New Roman"/>
          <w:sz w:val="28"/>
          <w:szCs w:val="28"/>
        </w:rPr>
        <w:t>15 242 557,88</w:t>
      </w:r>
      <w:r w:rsidR="004E146B">
        <w:rPr>
          <w:rFonts w:ascii="Times New Roman" w:hAnsi="Times New Roman" w:cs="Times New Roman"/>
          <w:sz w:val="28"/>
          <w:szCs w:val="28"/>
        </w:rPr>
        <w:t xml:space="preserve">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дефицит местного бюджета</w:t>
      </w:r>
      <w:r w:rsidR="00850620">
        <w:rPr>
          <w:rFonts w:ascii="Times New Roman" w:eastAsia="Times New Roman" w:hAnsi="Times New Roman" w:cs="Times New Roman"/>
          <w:sz w:val="28"/>
        </w:rPr>
        <w:t xml:space="preserve"> равен 1 952</w:t>
      </w:r>
      <w:r w:rsidR="00B568B1">
        <w:rPr>
          <w:rFonts w:ascii="Times New Roman" w:eastAsia="Times New Roman" w:hAnsi="Times New Roman" w:cs="Times New Roman"/>
          <w:sz w:val="28"/>
        </w:rPr>
        <w:t> </w:t>
      </w:r>
      <w:r w:rsidR="00850620">
        <w:rPr>
          <w:rFonts w:ascii="Times New Roman" w:eastAsia="Times New Roman" w:hAnsi="Times New Roman" w:cs="Times New Roman"/>
          <w:sz w:val="28"/>
        </w:rPr>
        <w:t>621</w:t>
      </w:r>
      <w:r w:rsidR="00B568B1">
        <w:rPr>
          <w:rFonts w:ascii="Times New Roman" w:eastAsia="Times New Roman" w:hAnsi="Times New Roman" w:cs="Times New Roman"/>
          <w:sz w:val="28"/>
        </w:rPr>
        <w:t>,</w:t>
      </w:r>
      <w:r w:rsidR="00850620">
        <w:rPr>
          <w:rFonts w:ascii="Times New Roman" w:eastAsia="Times New Roman" w:hAnsi="Times New Roman" w:cs="Times New Roman"/>
          <w:sz w:val="28"/>
        </w:rPr>
        <w:t xml:space="preserve"> 46 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B04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11 755 873,02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я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12 175 759,78 рублей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B04D5B">
        <w:rPr>
          <w:rFonts w:ascii="Times New Roman" w:eastAsia="Times New Roman" w:hAnsi="Times New Roman" w:cs="Times New Roman"/>
          <w:sz w:val="28"/>
        </w:rPr>
        <w:t xml:space="preserve">11 755 873,02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B04D5B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287 584,00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>
        <w:rPr>
          <w:rFonts w:ascii="Times New Roman" w:eastAsia="Times New Roman" w:hAnsi="Times New Roman" w:cs="Times New Roman"/>
          <w:sz w:val="28"/>
        </w:rPr>
        <w:t>7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 xml:space="preserve">12 175 759,78 </w:t>
      </w:r>
      <w:r w:rsidR="00E51D00">
        <w:rPr>
          <w:rFonts w:ascii="Times New Roman" w:eastAsia="Times New Roman" w:hAnsi="Times New Roman" w:cs="Times New Roman"/>
          <w:sz w:val="28"/>
        </w:rPr>
        <w:t>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595 686,00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2025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B04D5B">
        <w:rPr>
          <w:rFonts w:ascii="Times New Roman" w:eastAsia="Times New Roman" w:hAnsi="Times New Roman" w:cs="Times New Roman"/>
          <w:color w:val="262633"/>
          <w:sz w:val="28"/>
          <w:szCs w:val="28"/>
        </w:rPr>
        <w:t>6 и 2027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 w:rsidRPr="000F2A17">
        <w:rPr>
          <w:rFonts w:ascii="Times New Roman" w:eastAsia="Times New Roman" w:hAnsi="Times New Roman" w:cs="Times New Roman"/>
          <w:sz w:val="28"/>
        </w:rPr>
        <w:lastRenderedPageBreak/>
        <w:t>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7067D">
        <w:rPr>
          <w:rFonts w:ascii="Times New Roman" w:eastAsia="Times New Roman" w:hAnsi="Times New Roman" w:cs="Times New Roman"/>
          <w:sz w:val="28"/>
        </w:rPr>
        <w:t>2 038 620,23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B04D5B">
        <w:rPr>
          <w:rFonts w:ascii="Times New Roman" w:eastAsia="Times New Roman" w:hAnsi="Times New Roman" w:cs="Times New Roman"/>
          <w:sz w:val="28"/>
        </w:rPr>
        <w:t>1 406 040,42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B04D5B">
        <w:rPr>
          <w:rFonts w:ascii="Times New Roman" w:eastAsia="Times New Roman" w:hAnsi="Times New Roman" w:cs="Times New Roman"/>
          <w:sz w:val="28"/>
        </w:rPr>
        <w:t> 796 417,18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B04D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решение уменьшение бюджетных ассигнований, утвержденных в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 xml:space="preserve">азмере </w:t>
      </w:r>
      <w:r w:rsidR="00B04D5B">
        <w:rPr>
          <w:rFonts w:ascii="Times New Roman" w:eastAsia="Times New Roman" w:hAnsi="Times New Roman" w:cs="Times New Roman"/>
          <w:sz w:val="28"/>
        </w:rPr>
        <w:t>10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3D32C7">
        <w:rPr>
          <w:rFonts w:ascii="Times New Roman" w:eastAsia="Times New Roman" w:hAnsi="Times New Roman" w:cs="Times New Roman"/>
          <w:sz w:val="28"/>
        </w:rPr>
        <w:t xml:space="preserve"> год в размере</w:t>
      </w:r>
      <w:r w:rsidR="00B04D5B">
        <w:rPr>
          <w:rFonts w:ascii="Times New Roman" w:eastAsia="Times New Roman" w:hAnsi="Times New Roman" w:cs="Times New Roman"/>
          <w:sz w:val="28"/>
        </w:rPr>
        <w:t xml:space="preserve"> 10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A7067D" w:rsidRPr="00D373DD">
        <w:rPr>
          <w:rFonts w:ascii="Times New Roman" w:eastAsia="Times New Roman" w:hAnsi="Times New Roman" w:cs="Times New Roman"/>
          <w:sz w:val="28"/>
          <w:szCs w:val="28"/>
        </w:rPr>
        <w:t>5 062 577,80</w:t>
      </w:r>
      <w:r w:rsidR="00B04D5B">
        <w:rPr>
          <w:rFonts w:ascii="Times New Roman" w:eastAsia="Times New Roman" w:hAnsi="Times New Roman" w:cs="Times New Roman"/>
          <w:sz w:val="28"/>
        </w:rPr>
        <w:t xml:space="preserve"> </w:t>
      </w:r>
      <w:r w:rsidR="00433A82">
        <w:rPr>
          <w:rFonts w:ascii="Times New Roman" w:eastAsia="Times New Roman" w:hAnsi="Times New Roman" w:cs="Times New Roman"/>
          <w:sz w:val="28"/>
        </w:rPr>
        <w:t>рублей, в 202</w:t>
      </w:r>
      <w:r w:rsidR="00B04D5B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</w:t>
      </w:r>
      <w:r w:rsidR="00D8049B">
        <w:rPr>
          <w:rFonts w:ascii="Times New Roman" w:eastAsia="Times New Roman" w:hAnsi="Times New Roman" w:cs="Times New Roman"/>
          <w:sz w:val="28"/>
        </w:rPr>
        <w:t> 661 414,82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B04D5B">
        <w:rPr>
          <w:rFonts w:ascii="Times New Roman" w:eastAsia="Times New Roman" w:hAnsi="Times New Roman" w:cs="Times New Roman"/>
          <w:sz w:val="28"/>
        </w:rPr>
        <w:t>7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D8049B">
        <w:rPr>
          <w:rFonts w:ascii="Times New Roman" w:eastAsia="Times New Roman" w:hAnsi="Times New Roman" w:cs="Times New Roman"/>
          <w:sz w:val="28"/>
        </w:rPr>
        <w:t>3 682 549,04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B04D5B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B04D5B">
        <w:rPr>
          <w:color w:val="000000"/>
          <w:szCs w:val="28"/>
          <w:shd w:val="clear" w:color="auto" w:fill="FFFFFF"/>
        </w:rPr>
        <w:t>7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B04D5B">
        <w:rPr>
          <w:color w:val="000000"/>
          <w:szCs w:val="28"/>
          <w:shd w:val="clear" w:color="auto" w:fill="FFFFFF"/>
        </w:rPr>
        <w:t>8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B04D5B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B04D5B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B04D5B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B04D5B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B04D5B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B04D5B">
        <w:rPr>
          <w:color w:val="000000"/>
          <w:szCs w:val="28"/>
          <w:shd w:val="clear" w:color="auto" w:fill="FFFFFF"/>
        </w:rPr>
        <w:t>25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B04D5B">
        <w:rPr>
          <w:color w:val="000000"/>
          <w:szCs w:val="28"/>
          <w:shd w:val="clear" w:color="auto" w:fill="FFFFFF"/>
        </w:rPr>
        <w:t>6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B04D5B">
        <w:rPr>
          <w:color w:val="000000"/>
          <w:szCs w:val="28"/>
          <w:shd w:val="clear" w:color="auto" w:fill="FFFFFF"/>
        </w:rPr>
        <w:t>7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</w:t>
      </w:r>
      <w:r w:rsidRPr="00F119EF">
        <w:rPr>
          <w:rFonts w:ascii="Times New Roman" w:eastAsia="Times New Roman" w:hAnsi="Times New Roman" w:cs="Times New Roman"/>
          <w:sz w:val="28"/>
        </w:rPr>
        <w:lastRenderedPageBreak/>
        <w:t xml:space="preserve">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B04D5B">
        <w:rPr>
          <w:rFonts w:ascii="Times New Roman" w:eastAsia="Times New Roman" w:hAnsi="Times New Roman" w:cs="Times New Roman"/>
          <w:sz w:val="28"/>
        </w:rPr>
        <w:t>5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B3E15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B3E15">
        <w:rPr>
          <w:rFonts w:ascii="Times New Roman" w:hAnsi="Times New Roman" w:cs="Times New Roman"/>
          <w:sz w:val="28"/>
          <w:szCs w:val="28"/>
        </w:rPr>
        <w:t>5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 w:rsidR="003B3E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3B3E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sectPr w:rsidR="0067504C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E382D"/>
    <w:rsid w:val="000F2A17"/>
    <w:rsid w:val="001103BF"/>
    <w:rsid w:val="00146237"/>
    <w:rsid w:val="00191F90"/>
    <w:rsid w:val="001B24C1"/>
    <w:rsid w:val="001F3688"/>
    <w:rsid w:val="001F49FA"/>
    <w:rsid w:val="0021395C"/>
    <w:rsid w:val="00243CE6"/>
    <w:rsid w:val="0024632D"/>
    <w:rsid w:val="00272127"/>
    <w:rsid w:val="002A1C8B"/>
    <w:rsid w:val="002A4216"/>
    <w:rsid w:val="002B67CE"/>
    <w:rsid w:val="002D68AB"/>
    <w:rsid w:val="002D7487"/>
    <w:rsid w:val="002F1579"/>
    <w:rsid w:val="003149D7"/>
    <w:rsid w:val="00342C3A"/>
    <w:rsid w:val="00353EC3"/>
    <w:rsid w:val="00355FF1"/>
    <w:rsid w:val="00371DD0"/>
    <w:rsid w:val="00387F91"/>
    <w:rsid w:val="003A72D7"/>
    <w:rsid w:val="003B3E15"/>
    <w:rsid w:val="003C6462"/>
    <w:rsid w:val="003D32C7"/>
    <w:rsid w:val="0041063A"/>
    <w:rsid w:val="00433A82"/>
    <w:rsid w:val="00444266"/>
    <w:rsid w:val="00467C45"/>
    <w:rsid w:val="00467D1E"/>
    <w:rsid w:val="00471364"/>
    <w:rsid w:val="004B4DDC"/>
    <w:rsid w:val="004C3B56"/>
    <w:rsid w:val="004C510E"/>
    <w:rsid w:val="004E146B"/>
    <w:rsid w:val="00515932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059C0"/>
    <w:rsid w:val="007162B2"/>
    <w:rsid w:val="00733AA8"/>
    <w:rsid w:val="00734969"/>
    <w:rsid w:val="00770FBA"/>
    <w:rsid w:val="0078778E"/>
    <w:rsid w:val="007A402E"/>
    <w:rsid w:val="007B4D04"/>
    <w:rsid w:val="007C0E52"/>
    <w:rsid w:val="007C7E14"/>
    <w:rsid w:val="007D3FE5"/>
    <w:rsid w:val="007F5EB8"/>
    <w:rsid w:val="00804932"/>
    <w:rsid w:val="00811DF9"/>
    <w:rsid w:val="00844A7D"/>
    <w:rsid w:val="00850620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A69EF"/>
    <w:rsid w:val="009C04F3"/>
    <w:rsid w:val="009C5514"/>
    <w:rsid w:val="00A20F5B"/>
    <w:rsid w:val="00A26783"/>
    <w:rsid w:val="00A323B3"/>
    <w:rsid w:val="00A55DED"/>
    <w:rsid w:val="00A7067D"/>
    <w:rsid w:val="00A90A22"/>
    <w:rsid w:val="00AA303F"/>
    <w:rsid w:val="00AB2CCE"/>
    <w:rsid w:val="00B0451F"/>
    <w:rsid w:val="00B04D5B"/>
    <w:rsid w:val="00B16B85"/>
    <w:rsid w:val="00B54FC3"/>
    <w:rsid w:val="00B568B1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D02876"/>
    <w:rsid w:val="00D45768"/>
    <w:rsid w:val="00D52B4A"/>
    <w:rsid w:val="00D8049B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E94106"/>
    <w:rsid w:val="00ED4D27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A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2686</Words>
  <Characters>15314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2025-01-14T08:57:00Z</cp:lastPrinted>
  <dcterms:created xsi:type="dcterms:W3CDTF">2025-05-05T10:08:00Z</dcterms:created>
  <dcterms:modified xsi:type="dcterms:W3CDTF">2025-05-05T10:33:00Z</dcterms:modified>
</cp:coreProperties>
</file>