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C2" w:rsidRPr="00497EA4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497EA4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DA4EC2" w:rsidRPr="00497EA4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2"/>
          <w:szCs w:val="24"/>
        </w:rPr>
      </w:pPr>
      <w:r w:rsidRPr="00497EA4">
        <w:rPr>
          <w:rFonts w:ascii="Times New Roman" w:hAnsi="Times New Roman" w:cs="Times New Roman"/>
          <w:sz w:val="22"/>
          <w:szCs w:val="24"/>
        </w:rPr>
        <w:t>муниципального района Омской области</w:t>
      </w:r>
    </w:p>
    <w:p w:rsidR="00DA4EC2" w:rsidRPr="00497EA4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2"/>
          <w:szCs w:val="24"/>
        </w:rPr>
      </w:pPr>
    </w:p>
    <w:p w:rsidR="00DA4EC2" w:rsidRPr="00497EA4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2"/>
          <w:szCs w:val="24"/>
        </w:rPr>
      </w:pPr>
      <w:r w:rsidRPr="00497EA4">
        <w:rPr>
          <w:rFonts w:ascii="Times New Roman" w:hAnsi="Times New Roman" w:cs="Times New Roman"/>
          <w:sz w:val="22"/>
          <w:szCs w:val="24"/>
        </w:rPr>
        <w:t>РЕШЕНИЕ</w:t>
      </w:r>
    </w:p>
    <w:p w:rsidR="00DA4EC2" w:rsidRPr="00497EA4" w:rsidRDefault="00DA4EC2" w:rsidP="00497EA4">
      <w:pPr>
        <w:jc w:val="center"/>
        <w:rPr>
          <w:b/>
          <w:bCs/>
          <w:sz w:val="22"/>
        </w:rPr>
      </w:pPr>
      <w:r w:rsidRPr="00497EA4">
        <w:rPr>
          <w:b/>
          <w:bCs/>
          <w:sz w:val="22"/>
        </w:rPr>
        <w:t>38 Сессии 4 Созыва Октябрьского сельского поселения</w:t>
      </w:r>
    </w:p>
    <w:p w:rsidR="00DA4EC2" w:rsidRPr="00497EA4" w:rsidRDefault="00DA4EC2" w:rsidP="00497EA4">
      <w:pPr>
        <w:tabs>
          <w:tab w:val="left" w:pos="6510"/>
        </w:tabs>
        <w:rPr>
          <w:sz w:val="22"/>
        </w:rPr>
      </w:pPr>
      <w:r w:rsidRPr="00497EA4">
        <w:rPr>
          <w:sz w:val="22"/>
        </w:rPr>
        <w:t>31.01.2023 год</w:t>
      </w:r>
      <w:r w:rsidRPr="00497EA4">
        <w:rPr>
          <w:sz w:val="22"/>
        </w:rPr>
        <w:tab/>
        <w:t xml:space="preserve">                            № </w:t>
      </w:r>
      <w:r w:rsidR="00015906" w:rsidRPr="00497EA4">
        <w:rPr>
          <w:sz w:val="22"/>
        </w:rPr>
        <w:t>4</w:t>
      </w:r>
    </w:p>
    <w:p w:rsidR="00DA4EC2" w:rsidRPr="00497EA4" w:rsidRDefault="00015906" w:rsidP="00DA4EC2">
      <w:pPr>
        <w:ind w:firstLine="709"/>
        <w:jc w:val="both"/>
        <w:rPr>
          <w:b/>
          <w:sz w:val="22"/>
        </w:rPr>
      </w:pPr>
      <w:r w:rsidRPr="00497EA4">
        <w:rPr>
          <w:b/>
          <w:sz w:val="22"/>
        </w:rPr>
        <w:t>О внесении изменений в решение Совета Октябрьского сельского поселения Горьковского муниципального района Омской области от 07.10.2021 года № 3 «О положении о приватизации муниципального имущества»</w:t>
      </w:r>
    </w:p>
    <w:p w:rsidR="00DA4EC2" w:rsidRPr="00497EA4" w:rsidRDefault="00DA4EC2" w:rsidP="00DA4EC2">
      <w:pPr>
        <w:ind w:firstLine="709"/>
        <w:jc w:val="both"/>
        <w:rPr>
          <w:sz w:val="22"/>
        </w:rPr>
      </w:pPr>
    </w:p>
    <w:p w:rsidR="00DA4EC2" w:rsidRPr="00497EA4" w:rsidRDefault="00DA4EC2" w:rsidP="00DA4EC2">
      <w:pPr>
        <w:ind w:firstLine="709"/>
        <w:jc w:val="both"/>
        <w:rPr>
          <w:sz w:val="22"/>
        </w:rPr>
      </w:pPr>
      <w:r w:rsidRPr="00497EA4">
        <w:rPr>
          <w:sz w:val="22"/>
        </w:rPr>
        <w:t xml:space="preserve">        В </w:t>
      </w:r>
      <w:r w:rsidR="00015906" w:rsidRPr="00497EA4">
        <w:rPr>
          <w:sz w:val="22"/>
        </w:rPr>
        <w:t>целях реализации Федерального закона 21.12.2001 № 178-ФЗ «О приватизации государственного и муниципального имущества»</w:t>
      </w:r>
      <w:r w:rsidRPr="00497EA4">
        <w:rPr>
          <w:sz w:val="22"/>
        </w:rPr>
        <w:t>,</w:t>
      </w:r>
      <w:r w:rsidR="00015906" w:rsidRPr="00497EA4">
        <w:rPr>
          <w:sz w:val="22"/>
        </w:rPr>
        <w:t xml:space="preserve"> руководствуясь</w:t>
      </w:r>
      <w:r w:rsidRPr="00497EA4">
        <w:rPr>
          <w:sz w:val="22"/>
        </w:rPr>
        <w:t xml:space="preserve"> </w:t>
      </w:r>
      <w:hyperlink r:id="rId5" w:history="1">
        <w:r w:rsidRPr="00497EA4">
          <w:rPr>
            <w:sz w:val="22"/>
          </w:rPr>
          <w:t>Уставом</w:t>
        </w:r>
      </w:hyperlink>
      <w:r w:rsidRPr="00497EA4">
        <w:rPr>
          <w:sz w:val="22"/>
        </w:rPr>
        <w:t xml:space="preserve"> Октябрьского сельского поселения Горьковского муниципального района Омской области, Совет Октябрьского сельского поселения Горьковского муниципального района Омской области</w:t>
      </w:r>
    </w:p>
    <w:p w:rsidR="00DA4EC2" w:rsidRPr="00497EA4" w:rsidRDefault="00DA4EC2" w:rsidP="00497EA4">
      <w:pPr>
        <w:jc w:val="center"/>
        <w:rPr>
          <w:b/>
          <w:sz w:val="22"/>
        </w:rPr>
      </w:pPr>
      <w:r w:rsidRPr="00497EA4">
        <w:rPr>
          <w:b/>
          <w:sz w:val="22"/>
        </w:rPr>
        <w:t>РЕШИЛ:</w:t>
      </w:r>
    </w:p>
    <w:p w:rsidR="00DA4EC2" w:rsidRPr="00497EA4" w:rsidRDefault="00015906" w:rsidP="001E4328">
      <w:pPr>
        <w:pStyle w:val="a4"/>
        <w:numPr>
          <w:ilvl w:val="0"/>
          <w:numId w:val="1"/>
        </w:numPr>
        <w:ind w:left="0" w:firstLine="552"/>
        <w:jc w:val="both"/>
        <w:rPr>
          <w:b/>
          <w:sz w:val="22"/>
        </w:rPr>
      </w:pPr>
      <w:r w:rsidRPr="00497EA4">
        <w:rPr>
          <w:sz w:val="22"/>
        </w:rPr>
        <w:t>Внести в Положение «О приватизации муниципального имущества» следующие изменения:</w:t>
      </w:r>
    </w:p>
    <w:p w:rsidR="00497EA4" w:rsidRPr="00497EA4" w:rsidRDefault="00497EA4" w:rsidP="00497EA4">
      <w:pPr>
        <w:pStyle w:val="a4"/>
        <w:numPr>
          <w:ilvl w:val="1"/>
          <w:numId w:val="2"/>
        </w:numPr>
        <w:jc w:val="both"/>
        <w:rPr>
          <w:sz w:val="22"/>
        </w:rPr>
      </w:pPr>
      <w:r w:rsidRPr="00497EA4">
        <w:rPr>
          <w:sz w:val="22"/>
        </w:rPr>
        <w:t>Положение дополнить разделом 4.1 следующего содержания:</w:t>
      </w:r>
    </w:p>
    <w:p w:rsidR="00497EA4" w:rsidRPr="00497EA4" w:rsidRDefault="00497EA4" w:rsidP="00497EA4">
      <w:pPr>
        <w:pStyle w:val="a6"/>
        <w:shd w:val="clear" w:color="auto" w:fill="FFFFFF"/>
        <w:spacing w:before="0" w:beforeAutospacing="0" w:after="0" w:afterAutospacing="0" w:line="450" w:lineRule="atLeast"/>
        <w:jc w:val="center"/>
        <w:outlineLvl w:val="1"/>
        <w:rPr>
          <w:b/>
          <w:bCs/>
          <w:color w:val="000000"/>
          <w:kern w:val="36"/>
          <w:sz w:val="22"/>
        </w:rPr>
      </w:pPr>
      <w:r w:rsidRPr="00497EA4">
        <w:rPr>
          <w:b/>
          <w:bCs/>
          <w:color w:val="000000"/>
          <w:kern w:val="36"/>
          <w:sz w:val="22"/>
        </w:rPr>
        <w:t>«4.1 Продажа государственного или муниципального имущества на аукционе</w:t>
      </w:r>
    </w:p>
    <w:p w:rsidR="00497EA4" w:rsidRPr="00497EA4" w:rsidRDefault="00497EA4" w:rsidP="00497EA4">
      <w:pPr>
        <w:shd w:val="clear" w:color="auto" w:fill="FDFDFD"/>
        <w:jc w:val="both"/>
        <w:rPr>
          <w:color w:val="0E0E0E"/>
          <w:sz w:val="22"/>
        </w:rPr>
      </w:pPr>
      <w:r w:rsidRPr="00497EA4">
        <w:rPr>
          <w:color w:val="0E0E0E"/>
          <w:sz w:val="22"/>
        </w:rPr>
        <w:t>Как провести аукцион по продаже муниципального имущества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1. На аукционе продается государственное или муниципальное имущество в случае, если его покупатели не должны выполнить какие-либо условия в отношении такого имущества. Право его приобретения принадлежит покупателю, который предложит в ходе торгов наиболее высокую цену за такое имущество.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2. Аукцион является открытым по составу участников.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 xml:space="preserve">3. Предложения о цене государственного или муниципального имущества </w:t>
      </w:r>
      <w:proofErr w:type="gramStart"/>
      <w:r w:rsidRPr="00497EA4">
        <w:rPr>
          <w:sz w:val="22"/>
        </w:rPr>
        <w:t>заявляются</w:t>
      </w:r>
      <w:proofErr w:type="gramEnd"/>
      <w:r w:rsidRPr="00497EA4">
        <w:rPr>
          <w:sz w:val="22"/>
        </w:rPr>
        <w:t xml:space="preserve"> участниками аукциона открыто в ходе проведения торгов. По итогам торгов с победителем аукциона заключается договор.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В случае</w:t>
      </w:r>
      <w:proofErr w:type="gramStart"/>
      <w:r w:rsidRPr="00497EA4">
        <w:rPr>
          <w:sz w:val="22"/>
        </w:rPr>
        <w:t>,</w:t>
      </w:r>
      <w:proofErr w:type="gramEnd"/>
      <w:r w:rsidRPr="00497EA4">
        <w:rPr>
          <w:sz w:val="22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4. Продолжительность приема заявок на участие в аукционе должна быть не менее чем двадцать пять дней. Признание претендентов участниками аукциона осуществляется в течение пяти рабочих дней со дня окончания срока приема указанных заявок. Аукцион проводится не позднее третьего рабочего дня со дня признания претендентов участниками аукциона.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5. При проведен</w:t>
      </w:r>
      <w:proofErr w:type="gramStart"/>
      <w:r w:rsidRPr="00497EA4">
        <w:rPr>
          <w:sz w:val="22"/>
        </w:rPr>
        <w:t>ии ау</w:t>
      </w:r>
      <w:proofErr w:type="gramEnd"/>
      <w:r w:rsidRPr="00497EA4">
        <w:rPr>
          <w:sz w:val="22"/>
        </w:rPr>
        <w:t>кциона в информационном сообщении помимо сведений, указанных в </w:t>
      </w:r>
      <w:hyperlink r:id="rId6" w:anchor="dst100139" w:history="1">
        <w:r w:rsidRPr="00497EA4">
          <w:rPr>
            <w:rStyle w:val="a5"/>
            <w:color w:val="auto"/>
            <w:sz w:val="22"/>
            <w:u w:val="none"/>
          </w:rPr>
          <w:t>статье 15</w:t>
        </w:r>
      </w:hyperlink>
      <w:r w:rsidRPr="00497EA4">
        <w:rPr>
          <w:sz w:val="22"/>
        </w:rPr>
        <w:t> Федерального закона № 178-ФЗ, указывается величина повышения начальной цены ("шаг аукциона").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6. Для участия в аукционе претендент вносит задаток в размере: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20 процентов начальной цены, указанной в информационном сообщении о продаже государственного или муниципального имущества и составляющей 100 миллионов рублей и более;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10 процентов начальной цены, указанной в информационном сообщении о продаже государственного или муниципального имущества и составляющей менее 100 миллионов рублей.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color w:val="000000"/>
          <w:sz w:val="22"/>
        </w:rPr>
        <w:t>7. 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8. Претендент не допускается к участию в аукционе по следующим основаниям: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заявка подана лицом, не уполномоченным претендентом на осуществление таких действий;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lastRenderedPageBreak/>
        <w:t>не подтверждено поступление в установленный срок задатка на счета, указанные в информационном сообщении.</w:t>
      </w:r>
    </w:p>
    <w:p w:rsidR="00497EA4" w:rsidRPr="00497EA4" w:rsidRDefault="00497EA4" w:rsidP="00497EA4">
      <w:pPr>
        <w:pStyle w:val="a6"/>
        <w:shd w:val="clear" w:color="auto" w:fill="FFFFFF"/>
        <w:spacing w:before="210" w:beforeAutospacing="0" w:after="0" w:afterAutospacing="0"/>
        <w:jc w:val="both"/>
        <w:rPr>
          <w:color w:val="000000"/>
          <w:sz w:val="22"/>
        </w:rPr>
      </w:pPr>
      <w:r w:rsidRPr="00497EA4">
        <w:rPr>
          <w:color w:val="000000"/>
          <w:sz w:val="22"/>
        </w:rPr>
        <w:t>Перечень оснований отказа претенденту в участии в аукционе является исчерпывающим.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 xml:space="preserve">9. До признания претендента участником аукциона он имеет право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497EA4">
        <w:rPr>
          <w:sz w:val="22"/>
        </w:rPr>
        <w:t>позднее</w:t>
      </w:r>
      <w:proofErr w:type="gramEnd"/>
      <w:r w:rsidRPr="00497EA4">
        <w:rPr>
          <w:sz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10. Одно лицо имеет право подать только одну заявку.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 xml:space="preserve">11. </w:t>
      </w:r>
      <w:proofErr w:type="gramStart"/>
      <w:r w:rsidRPr="00497EA4">
        <w:rPr>
          <w:sz w:val="22"/>
        </w:rPr>
        <w:t>Уведомление о признании участника аукциона победителем либо лицом, признанным единственным участником аукциона, в случае, установленном в </w:t>
      </w:r>
      <w:hyperlink r:id="rId7" w:anchor="dst634" w:history="1">
        <w:r w:rsidRPr="00497EA4">
          <w:rPr>
            <w:rStyle w:val="a5"/>
            <w:color w:val="auto"/>
            <w:sz w:val="22"/>
            <w:u w:val="none"/>
          </w:rPr>
          <w:t>абзаце втором пункта 3</w:t>
        </w:r>
      </w:hyperlink>
      <w:r w:rsidRPr="00497EA4">
        <w:rPr>
          <w:sz w:val="22"/>
        </w:rPr>
        <w:t> настоящей статьи, направляется победителю либо лицу, признанному единственным участником аукциона, в случае, установленном в </w:t>
      </w:r>
      <w:hyperlink r:id="rId8" w:anchor="dst634" w:history="1">
        <w:r w:rsidRPr="00497EA4">
          <w:rPr>
            <w:rStyle w:val="a5"/>
            <w:color w:val="auto"/>
            <w:sz w:val="22"/>
            <w:u w:val="none"/>
          </w:rPr>
          <w:t>абзаце втором пункта 3</w:t>
        </w:r>
      </w:hyperlink>
      <w:r w:rsidRPr="00497EA4">
        <w:rPr>
          <w:sz w:val="22"/>
        </w:rPr>
        <w:t> настоящей статьи, в день подведения итогов аукциона.</w:t>
      </w:r>
      <w:proofErr w:type="gramEnd"/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12. При уклонении или отказе победителя аукциона либо лица, признанного единственным участником аукциона, в случае, установленном в </w:t>
      </w:r>
      <w:hyperlink r:id="rId9" w:anchor="dst634" w:history="1">
        <w:r w:rsidRPr="00497EA4">
          <w:rPr>
            <w:rStyle w:val="a5"/>
            <w:color w:val="auto"/>
            <w:sz w:val="22"/>
            <w:u w:val="none"/>
          </w:rPr>
          <w:t>абзаце втором пункта 3</w:t>
        </w:r>
      </w:hyperlink>
      <w:r w:rsidRPr="00497EA4">
        <w:rPr>
          <w:sz w:val="22"/>
        </w:rPr>
        <w:t xml:space="preserve"> настоящей статьи, от заключения в установленный срок договора купли-продажи имущества задаток ему не </w:t>
      </w:r>
      <w:proofErr w:type="gramStart"/>
      <w:r w:rsidRPr="00497EA4">
        <w:rPr>
          <w:sz w:val="22"/>
        </w:rPr>
        <w:t>возвращается</w:t>
      </w:r>
      <w:proofErr w:type="gramEnd"/>
      <w:r w:rsidRPr="00497EA4">
        <w:rPr>
          <w:sz w:val="22"/>
        </w:rPr>
        <w:t xml:space="preserve"> и он утрачивает право на заключение указанного договора.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13. Суммы задатков возвращаются участникам аукциона, за исключением его победителя либо лица, признанного единственным участником аукциона, в случае, установленном в </w:t>
      </w:r>
      <w:hyperlink r:id="rId10" w:anchor="dst634" w:history="1">
        <w:r w:rsidRPr="00497EA4">
          <w:rPr>
            <w:rStyle w:val="a5"/>
            <w:color w:val="auto"/>
            <w:sz w:val="22"/>
            <w:u w:val="none"/>
          </w:rPr>
          <w:t>абзаце втором пункта 3</w:t>
        </w:r>
      </w:hyperlink>
      <w:r w:rsidRPr="00497EA4">
        <w:rPr>
          <w:sz w:val="22"/>
        </w:rPr>
        <w:t xml:space="preserve"> настоящей статьи, в течение пяти дней </w:t>
      </w:r>
      <w:proofErr w:type="gramStart"/>
      <w:r w:rsidRPr="00497EA4">
        <w:rPr>
          <w:sz w:val="22"/>
        </w:rPr>
        <w:t>с даты подведения</w:t>
      </w:r>
      <w:proofErr w:type="gramEnd"/>
      <w:r w:rsidRPr="00497EA4">
        <w:rPr>
          <w:sz w:val="22"/>
        </w:rPr>
        <w:t xml:space="preserve"> итогов аукциона.</w:t>
      </w:r>
    </w:p>
    <w:p w:rsidR="00497EA4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 xml:space="preserve">14. В течение пяти рабочих дней </w:t>
      </w:r>
      <w:proofErr w:type="gramStart"/>
      <w:r w:rsidRPr="00497EA4">
        <w:rPr>
          <w:sz w:val="22"/>
        </w:rPr>
        <w:t>с даты подведения</w:t>
      </w:r>
      <w:proofErr w:type="gramEnd"/>
      <w:r w:rsidRPr="00497EA4">
        <w:rPr>
          <w:sz w:val="22"/>
        </w:rPr>
        <w:t xml:space="preserve"> итогов аукциона с победителем аукциона либо лицом, признанным единственным участником аукциона, в случае, установленном в </w:t>
      </w:r>
      <w:hyperlink r:id="rId11" w:anchor="dst634" w:history="1">
        <w:r w:rsidRPr="00497EA4">
          <w:rPr>
            <w:rStyle w:val="a5"/>
            <w:color w:val="auto"/>
            <w:sz w:val="22"/>
            <w:u w:val="none"/>
          </w:rPr>
          <w:t>абзаце втором пункта 3</w:t>
        </w:r>
      </w:hyperlink>
      <w:r w:rsidRPr="00497EA4">
        <w:rPr>
          <w:sz w:val="22"/>
        </w:rPr>
        <w:t> настоящей статьи, заключается договор купли-продажи.</w:t>
      </w:r>
    </w:p>
    <w:p w:rsidR="00497EA4" w:rsidRPr="00497EA4" w:rsidRDefault="00497EA4" w:rsidP="00497EA4">
      <w:pPr>
        <w:pStyle w:val="a6"/>
        <w:shd w:val="clear" w:color="auto" w:fill="FFFFFF"/>
        <w:spacing w:before="210" w:beforeAutospacing="0" w:after="0" w:afterAutospacing="0"/>
        <w:jc w:val="both"/>
        <w:rPr>
          <w:color w:val="000000"/>
          <w:sz w:val="22"/>
        </w:rPr>
      </w:pPr>
      <w:r w:rsidRPr="00497EA4">
        <w:rPr>
          <w:color w:val="000000"/>
          <w:sz w:val="22"/>
        </w:rPr>
        <w:t>14.1. Цена государственного или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 w:rsidR="00015906" w:rsidRPr="00497EA4" w:rsidRDefault="00497EA4" w:rsidP="00497EA4">
      <w:pPr>
        <w:jc w:val="both"/>
        <w:rPr>
          <w:sz w:val="22"/>
        </w:rPr>
      </w:pPr>
      <w:r w:rsidRPr="00497EA4">
        <w:rPr>
          <w:sz w:val="22"/>
        </w:rPr>
        <w:t>15. Передача государственного или муниципального имущества и оформление права собственности на него осуществляются в соответствии с </w:t>
      </w:r>
      <w:hyperlink r:id="rId12" w:history="1">
        <w:r w:rsidRPr="00497EA4">
          <w:rPr>
            <w:rStyle w:val="a5"/>
            <w:color w:val="auto"/>
            <w:sz w:val="22"/>
            <w:u w:val="none"/>
          </w:rPr>
          <w:t>законодательством</w:t>
        </w:r>
      </w:hyperlink>
      <w:r w:rsidRPr="00497EA4">
        <w:rPr>
          <w:sz w:val="22"/>
        </w:rPr>
        <w:t> Российской Федерации и договором купли-продажи не позднее чем через тридцать дней после дня полной оплаты имущества.</w:t>
      </w:r>
    </w:p>
    <w:p w:rsidR="00DA4EC2" w:rsidRPr="00497EA4" w:rsidRDefault="001E4328" w:rsidP="001E4328">
      <w:pPr>
        <w:numPr>
          <w:ilvl w:val="0"/>
          <w:numId w:val="1"/>
        </w:numPr>
        <w:ind w:left="0" w:firstLine="552"/>
        <w:jc w:val="both"/>
        <w:rPr>
          <w:sz w:val="22"/>
        </w:rPr>
      </w:pPr>
      <w:r w:rsidRPr="00497EA4">
        <w:rPr>
          <w:sz w:val="22"/>
        </w:rPr>
        <w:t>Настоящее решение вступает в силу с 31.01.2023 года.</w:t>
      </w:r>
    </w:p>
    <w:p w:rsidR="001E4328" w:rsidRPr="00497EA4" w:rsidRDefault="001E4328" w:rsidP="001E4328">
      <w:pPr>
        <w:pStyle w:val="ConsPlusNormal"/>
        <w:numPr>
          <w:ilvl w:val="0"/>
          <w:numId w:val="1"/>
        </w:numPr>
        <w:ind w:left="0" w:firstLine="552"/>
        <w:jc w:val="both"/>
        <w:rPr>
          <w:rFonts w:ascii="Times New Roman" w:hAnsi="Times New Roman" w:cs="Times New Roman"/>
          <w:color w:val="000000"/>
          <w:szCs w:val="24"/>
        </w:rPr>
      </w:pPr>
      <w:r w:rsidRPr="00497EA4">
        <w:rPr>
          <w:rFonts w:ascii="Times New Roman" w:hAnsi="Times New Roman" w:cs="Times New Roman"/>
          <w:szCs w:val="24"/>
        </w:rPr>
        <w:t xml:space="preserve">Опубликовать настоящее Решение в </w:t>
      </w:r>
      <w:r w:rsidRPr="00497EA4">
        <w:rPr>
          <w:rFonts w:ascii="Times New Roman" w:hAnsi="Times New Roman" w:cs="Times New Roman"/>
          <w:color w:val="000000"/>
          <w:szCs w:val="24"/>
        </w:rPr>
        <w:t>газете «Горьковский муниципальный вестник – Октябрьское сельское поселение» и на официальном сайте администрации Октябрьского сельского поселения Горьковского муниципального района Омской области в сети Интернет.</w:t>
      </w:r>
    </w:p>
    <w:p w:rsidR="00DA4EC2" w:rsidRPr="00497EA4" w:rsidRDefault="00DA4EC2" w:rsidP="001E4328">
      <w:pPr>
        <w:rPr>
          <w:b/>
          <w:sz w:val="22"/>
        </w:rPr>
      </w:pPr>
    </w:p>
    <w:p w:rsidR="00DA4EC2" w:rsidRPr="00497EA4" w:rsidRDefault="00DA4EC2" w:rsidP="00DA4EC2">
      <w:pPr>
        <w:jc w:val="center"/>
        <w:rPr>
          <w:b/>
          <w:sz w:val="22"/>
        </w:rPr>
      </w:pPr>
    </w:p>
    <w:p w:rsidR="00DA4EC2" w:rsidRPr="00497EA4" w:rsidRDefault="00DA4EC2" w:rsidP="00DA4EC2">
      <w:pPr>
        <w:jc w:val="center"/>
        <w:rPr>
          <w:b/>
          <w:sz w:val="22"/>
        </w:rPr>
      </w:pPr>
    </w:p>
    <w:p w:rsidR="00DA4EC2" w:rsidRPr="00497EA4" w:rsidRDefault="00DA4EC2" w:rsidP="00DA4EC2">
      <w:pPr>
        <w:rPr>
          <w:sz w:val="22"/>
        </w:rPr>
      </w:pPr>
      <w:r w:rsidRPr="00497EA4">
        <w:rPr>
          <w:sz w:val="22"/>
        </w:rPr>
        <w:t>Глава Октябрьского сельского поселения</w:t>
      </w:r>
      <w:r w:rsidRPr="00497EA4">
        <w:rPr>
          <w:rStyle w:val="a3"/>
          <w:sz w:val="22"/>
        </w:rPr>
        <w:t xml:space="preserve"> </w:t>
      </w:r>
      <w:r w:rsidRPr="00497EA4">
        <w:rPr>
          <w:sz w:val="22"/>
        </w:rPr>
        <w:t xml:space="preserve"> </w:t>
      </w:r>
      <w:r w:rsidRPr="00497EA4">
        <w:rPr>
          <w:bCs/>
          <w:color w:val="000000"/>
          <w:sz w:val="22"/>
        </w:rPr>
        <w:t xml:space="preserve">                     Давыдов С.В.</w:t>
      </w:r>
    </w:p>
    <w:p w:rsidR="00DA4EC2" w:rsidRPr="00497EA4" w:rsidRDefault="00DA4EC2" w:rsidP="00DA4EC2">
      <w:pPr>
        <w:shd w:val="clear" w:color="auto" w:fill="FFFFFF"/>
        <w:jc w:val="both"/>
        <w:rPr>
          <w:color w:val="000000"/>
          <w:sz w:val="22"/>
        </w:rPr>
      </w:pPr>
    </w:p>
    <w:p w:rsidR="00DA4EC2" w:rsidRPr="00497EA4" w:rsidRDefault="00DA4EC2" w:rsidP="00DA4EC2">
      <w:pPr>
        <w:tabs>
          <w:tab w:val="left" w:pos="1000"/>
          <w:tab w:val="left" w:pos="2552"/>
        </w:tabs>
        <w:jc w:val="both"/>
        <w:rPr>
          <w:sz w:val="22"/>
        </w:rPr>
      </w:pPr>
      <w:r w:rsidRPr="00497EA4">
        <w:rPr>
          <w:sz w:val="22"/>
        </w:rPr>
        <w:t xml:space="preserve">Председатель Совета </w:t>
      </w:r>
    </w:p>
    <w:p w:rsidR="00DA4EC2" w:rsidRPr="00497EA4" w:rsidRDefault="00DA4EC2" w:rsidP="00DA4EC2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2"/>
        </w:rPr>
      </w:pPr>
      <w:r w:rsidRPr="00497EA4">
        <w:rPr>
          <w:sz w:val="22"/>
        </w:rPr>
        <w:t xml:space="preserve">Октябрьского сельского поселения          </w:t>
      </w:r>
      <w:r w:rsidRPr="00497EA4">
        <w:rPr>
          <w:bCs/>
          <w:color w:val="000000"/>
          <w:sz w:val="22"/>
        </w:rPr>
        <w:t xml:space="preserve">                    Сакс Е.В.</w:t>
      </w:r>
    </w:p>
    <w:p w:rsidR="00FC235E" w:rsidRPr="00497EA4" w:rsidRDefault="00FC235E">
      <w:pPr>
        <w:rPr>
          <w:sz w:val="22"/>
        </w:rPr>
      </w:pPr>
    </w:p>
    <w:sectPr w:rsidR="00FC235E" w:rsidRPr="00497EA4" w:rsidSect="00FC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C0A62"/>
    <w:multiLevelType w:val="multilevel"/>
    <w:tmpl w:val="F6106DE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76" w:hanging="2160"/>
      </w:pPr>
      <w:rPr>
        <w:rFonts w:hint="default"/>
      </w:rPr>
    </w:lvl>
  </w:abstractNum>
  <w:abstractNum w:abstractNumId="1">
    <w:nsid w:val="5B423C12"/>
    <w:multiLevelType w:val="hybridMultilevel"/>
    <w:tmpl w:val="EE4EE1A2"/>
    <w:lvl w:ilvl="0" w:tplc="92AEA976">
      <w:start w:val="1"/>
      <w:numFmt w:val="decimal"/>
      <w:lvlText w:val="%1."/>
      <w:lvlJc w:val="left"/>
      <w:pPr>
        <w:ind w:left="91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EC2"/>
    <w:rsid w:val="00015906"/>
    <w:rsid w:val="001E4328"/>
    <w:rsid w:val="00497EA4"/>
    <w:rsid w:val="005674A9"/>
    <w:rsid w:val="00584F8A"/>
    <w:rsid w:val="006A7360"/>
    <w:rsid w:val="0070255A"/>
    <w:rsid w:val="00A81CF2"/>
    <w:rsid w:val="00C52618"/>
    <w:rsid w:val="00DA4EC2"/>
    <w:rsid w:val="00FC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DA4EC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DA4EC2"/>
    <w:rPr>
      <w:vertAlign w:val="superscript"/>
    </w:rPr>
  </w:style>
  <w:style w:type="paragraph" w:styleId="a4">
    <w:name w:val="List Paragraph"/>
    <w:basedOn w:val="a"/>
    <w:uiPriority w:val="34"/>
    <w:qFormat/>
    <w:rsid w:val="00DA4EC2"/>
    <w:pPr>
      <w:ind w:left="720"/>
      <w:contextualSpacing/>
    </w:pPr>
  </w:style>
  <w:style w:type="paragraph" w:customStyle="1" w:styleId="ConsPlusNormal">
    <w:name w:val="ConsPlusNormal"/>
    <w:rsid w:val="001E43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rsid w:val="00497EA4"/>
    <w:rPr>
      <w:color w:val="0000FF"/>
      <w:u w:val="single"/>
    </w:rPr>
  </w:style>
  <w:style w:type="paragraph" w:styleId="a6">
    <w:name w:val="Normal (Web)"/>
    <w:basedOn w:val="a"/>
    <w:uiPriority w:val="99"/>
    <w:rsid w:val="00497EA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22245/f86aa1739d4196b2f5592eb17cb66cf166cfaa5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22245/f86aa1739d4196b2f5592eb17cb66cf166cfaa5e/" TargetMode="External"/><Relationship Id="rId12" Type="http://schemas.openxmlformats.org/officeDocument/2006/relationships/hyperlink" Target="https://www.consultant.ru/document/cons_doc_LAW_35155/f86aa1739d4196b2f5592eb17cb66cf166cfaa5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22245/f6d99b0373a454bb0f1c852ba5a4292af1a2307d/" TargetMode="External"/><Relationship Id="rId11" Type="http://schemas.openxmlformats.org/officeDocument/2006/relationships/hyperlink" Target="https://www.consultant.ru/document/cons_doc_LAW_422245/f86aa1739d4196b2f5592eb17cb66cf166cfaa5e/" TargetMode="External"/><Relationship Id="rId5" Type="http://schemas.openxmlformats.org/officeDocument/2006/relationships/hyperlink" Target="consultantplus://offline/ref=C8C983569BC04876976987E43551DD0EECD2C782CC2C00FA77993516D95DEA6617401FABC2C3AC3BEA2B9FE0F1A9BFDE906D562AECAFE73AD2C5B898O7T4D" TargetMode="External"/><Relationship Id="rId10" Type="http://schemas.openxmlformats.org/officeDocument/2006/relationships/hyperlink" Target="https://www.consultant.ru/document/cons_doc_LAW_422245/f86aa1739d4196b2f5592eb17cb66cf166cfaa5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22245/f86aa1739d4196b2f5592eb17cb66cf166cfaa5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2023-01-24T10:46:00Z</dcterms:created>
  <dcterms:modified xsi:type="dcterms:W3CDTF">2023-01-31T08:27:00Z</dcterms:modified>
</cp:coreProperties>
</file>