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ГЛАВА ОКТЯБРЬСКОГО СЕЛЬСКОГО ПОСЕЛЕНИЯ</w:t>
      </w:r>
    </w:p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ГОРЬКОВСКОГО МУНИЦИПАЛЬНОГО РАЙОНА ОМСКОЙ ОБЛАСТИ</w:t>
      </w:r>
    </w:p>
    <w:p w:rsidR="009C590F" w:rsidRDefault="009C590F" w:rsidP="009C590F">
      <w:pPr>
        <w:rPr>
          <w:b/>
        </w:rPr>
      </w:pPr>
    </w:p>
    <w:p w:rsidR="00C0028A" w:rsidRPr="00673945" w:rsidRDefault="00C0028A" w:rsidP="009C590F"/>
    <w:p w:rsidR="009C590F" w:rsidRPr="000A2762" w:rsidRDefault="009C590F" w:rsidP="009C590F">
      <w:pPr>
        <w:pStyle w:val="1"/>
        <w:rPr>
          <w:rFonts w:ascii="Times New Roman" w:hAnsi="Times New Roman"/>
          <w:sz w:val="24"/>
          <w:szCs w:val="24"/>
        </w:rPr>
      </w:pPr>
      <w:r w:rsidRPr="000A2762">
        <w:rPr>
          <w:rFonts w:ascii="Times New Roman" w:hAnsi="Times New Roman"/>
          <w:sz w:val="24"/>
          <w:szCs w:val="24"/>
        </w:rPr>
        <w:t>ПОСТАНОВЛЕНИЕ</w:t>
      </w:r>
    </w:p>
    <w:p w:rsidR="009C590F" w:rsidRPr="000A2762" w:rsidRDefault="009C590F" w:rsidP="009C590F"/>
    <w:p w:rsidR="009C590F" w:rsidRPr="000A2762" w:rsidRDefault="009C590F" w:rsidP="009C590F">
      <w:r w:rsidRPr="000A2762">
        <w:t xml:space="preserve"> </w:t>
      </w:r>
    </w:p>
    <w:p w:rsidR="009C590F" w:rsidRPr="000A2762" w:rsidRDefault="009C590F" w:rsidP="00E62544">
      <w:pPr>
        <w:rPr>
          <w:u w:val="single"/>
        </w:rPr>
      </w:pPr>
      <w:r w:rsidRPr="000A2762">
        <w:t xml:space="preserve">от </w:t>
      </w:r>
      <w:r w:rsidR="00245171">
        <w:t>19</w:t>
      </w:r>
      <w:r w:rsidR="00BD1F04" w:rsidRPr="000A2762">
        <w:t>.</w:t>
      </w:r>
      <w:r w:rsidR="00DC667A" w:rsidRPr="000A2762">
        <w:t>0</w:t>
      </w:r>
      <w:r w:rsidR="00245171">
        <w:t>8</w:t>
      </w:r>
      <w:r w:rsidR="00E217D9" w:rsidRPr="000A2762">
        <w:t>.</w:t>
      </w:r>
      <w:r w:rsidR="00D7375D" w:rsidRPr="000A2762">
        <w:t>2022</w:t>
      </w:r>
      <w:r w:rsidR="00055397" w:rsidRPr="000A2762">
        <w:t xml:space="preserve"> г</w:t>
      </w:r>
      <w:r w:rsidR="00055397" w:rsidRPr="00E167F3">
        <w:t>.</w:t>
      </w:r>
      <w:r w:rsidRPr="00E167F3">
        <w:t xml:space="preserve">                                              </w:t>
      </w:r>
      <w:r w:rsidR="00AB6D94" w:rsidRPr="00E167F3">
        <w:t xml:space="preserve">             </w:t>
      </w:r>
      <w:r w:rsidRPr="00E167F3">
        <w:t xml:space="preserve">                           </w:t>
      </w:r>
      <w:r w:rsidR="00055397" w:rsidRPr="00E167F3">
        <w:t xml:space="preserve">     </w:t>
      </w:r>
      <w:r w:rsidR="00977435" w:rsidRPr="00E167F3">
        <w:t xml:space="preserve">   </w:t>
      </w:r>
      <w:r w:rsidRPr="00E167F3">
        <w:t xml:space="preserve">  </w:t>
      </w:r>
      <w:r w:rsidR="00C0028A" w:rsidRPr="00E167F3">
        <w:t xml:space="preserve">                           </w:t>
      </w:r>
      <w:r w:rsidR="005C46D1" w:rsidRPr="00E167F3">
        <w:t xml:space="preserve">         </w:t>
      </w:r>
      <w:r w:rsidR="00E665A0" w:rsidRPr="00E167F3">
        <w:t xml:space="preserve"> </w:t>
      </w:r>
      <w:r w:rsidRPr="00E167F3">
        <w:t xml:space="preserve"> №</w:t>
      </w:r>
      <w:r w:rsidR="00DC667A" w:rsidRPr="00E167F3">
        <w:t xml:space="preserve"> </w:t>
      </w:r>
      <w:r w:rsidR="00E167F3">
        <w:t>58</w:t>
      </w:r>
    </w:p>
    <w:p w:rsidR="00E62544" w:rsidRPr="000A2762" w:rsidRDefault="00E62544" w:rsidP="00E62544">
      <w:pPr>
        <w:rPr>
          <w:u w:val="single"/>
        </w:rPr>
      </w:pPr>
    </w:p>
    <w:p w:rsidR="009C590F" w:rsidRPr="000A2762" w:rsidRDefault="00F97193" w:rsidP="00F97193">
      <w:pPr>
        <w:jc w:val="center"/>
      </w:pPr>
      <w:r w:rsidRPr="000A2762">
        <w:t>с. Октябрьское</w:t>
      </w:r>
    </w:p>
    <w:p w:rsidR="006232C9" w:rsidRPr="000A2762" w:rsidRDefault="006232C9" w:rsidP="009C590F">
      <w:pPr>
        <w:jc w:val="center"/>
      </w:pPr>
    </w:p>
    <w:p w:rsidR="009C590F" w:rsidRPr="00E167F3" w:rsidRDefault="00245171" w:rsidP="00245171">
      <w:pPr>
        <w:jc w:val="both"/>
        <w:rPr>
          <w:b/>
          <w:color w:val="000000"/>
        </w:rPr>
      </w:pPr>
      <w:r w:rsidRPr="00E167F3">
        <w:rPr>
          <w:b/>
          <w:color w:val="000000"/>
        </w:rPr>
        <w:t xml:space="preserve">Об утверждении </w:t>
      </w:r>
      <w:proofErr w:type="gramStart"/>
      <w:r w:rsidRPr="00E167F3">
        <w:rPr>
          <w:b/>
          <w:color w:val="000000"/>
        </w:rPr>
        <w:t>результатов оценки эффективности налоговых расходов</w:t>
      </w:r>
      <w:r w:rsidR="00DD3542" w:rsidRPr="00E167F3">
        <w:rPr>
          <w:b/>
          <w:color w:val="000000"/>
        </w:rPr>
        <w:t xml:space="preserve"> Октябрьского сельского поселения</w:t>
      </w:r>
      <w:r w:rsidRPr="00E167F3">
        <w:rPr>
          <w:b/>
          <w:color w:val="000000"/>
        </w:rPr>
        <w:t xml:space="preserve"> Горьковского муниципального района Омской области</w:t>
      </w:r>
      <w:proofErr w:type="gramEnd"/>
      <w:r w:rsidRPr="00E167F3">
        <w:rPr>
          <w:b/>
          <w:color w:val="000000"/>
        </w:rPr>
        <w:t xml:space="preserve"> и перечня показателей оценки эффективности налоговых расходов Октябрьского сельского поселения Горьковского муниципального района Омской области</w:t>
      </w:r>
    </w:p>
    <w:p w:rsidR="009C590F" w:rsidRPr="000A2762" w:rsidRDefault="009C590F" w:rsidP="009C590F">
      <w:pPr>
        <w:rPr>
          <w:color w:val="000000"/>
        </w:rPr>
      </w:pPr>
    </w:p>
    <w:p w:rsidR="009C590F" w:rsidRPr="000A2762" w:rsidRDefault="00711868" w:rsidP="009C590F">
      <w:pPr>
        <w:tabs>
          <w:tab w:val="left" w:pos="709"/>
        </w:tabs>
        <w:ind w:firstLine="709"/>
        <w:jc w:val="both"/>
        <w:rPr>
          <w:color w:val="000000"/>
        </w:rPr>
      </w:pPr>
      <w:r w:rsidRPr="000A2762">
        <w:rPr>
          <w:color w:val="000000"/>
        </w:rPr>
        <w:t xml:space="preserve">       </w:t>
      </w:r>
      <w:r w:rsidR="009C590F" w:rsidRPr="000A2762">
        <w:rPr>
          <w:color w:val="000000"/>
        </w:rPr>
        <w:t>В соответствии с</w:t>
      </w:r>
      <w:r w:rsidR="00752903">
        <w:rPr>
          <w:color w:val="000000"/>
        </w:rPr>
        <w:t xml:space="preserve">о статьей 173.4 бюджетного </w:t>
      </w:r>
      <w:r w:rsidR="009C590F" w:rsidRPr="000A2762">
        <w:rPr>
          <w:color w:val="000000"/>
        </w:rPr>
        <w:t>кодекса Российской Фе</w:t>
      </w:r>
      <w:r w:rsidR="00F97193" w:rsidRPr="000A2762">
        <w:rPr>
          <w:color w:val="000000"/>
        </w:rPr>
        <w:t xml:space="preserve">дерации, </w:t>
      </w:r>
      <w:r w:rsidR="00752903">
        <w:rPr>
          <w:color w:val="000000"/>
        </w:rPr>
        <w:t xml:space="preserve">Постановлением Правительства Российской Федерации от 22.06.2019 г. №796 «Об общих требованиях </w:t>
      </w:r>
      <w:r w:rsidR="00B53918">
        <w:rPr>
          <w:color w:val="000000"/>
        </w:rPr>
        <w:t xml:space="preserve">к оценке налоговых расходов субъектов Российской Федерации и муниципальных образованиях», </w:t>
      </w:r>
      <w:r w:rsidR="00B53918" w:rsidRPr="00B53918">
        <w:rPr>
          <w:color w:val="000000"/>
        </w:rPr>
        <w:t>Постановление Главы Октябр</w:t>
      </w:r>
      <w:r w:rsidR="00B53918">
        <w:rPr>
          <w:color w:val="000000"/>
        </w:rPr>
        <w:t>ьского с</w:t>
      </w:r>
      <w:proofErr w:type="gramStart"/>
      <w:r w:rsidR="00B53918">
        <w:rPr>
          <w:color w:val="000000"/>
        </w:rPr>
        <w:t>.п</w:t>
      </w:r>
      <w:proofErr w:type="gramEnd"/>
      <w:r w:rsidR="00B53918">
        <w:rPr>
          <w:color w:val="000000"/>
        </w:rPr>
        <w:t xml:space="preserve"> от 30.01.2020 №2</w:t>
      </w:r>
      <w:r w:rsidR="00B53918" w:rsidRPr="00B53918">
        <w:rPr>
          <w:color w:val="000000"/>
        </w:rPr>
        <w:t xml:space="preserve"> "Об утверждении порядка оценки налоговых расходов в Октябрьском с.п.</w:t>
      </w:r>
      <w:r w:rsidR="00B53918">
        <w:rPr>
          <w:color w:val="000000"/>
        </w:rPr>
        <w:t>»</w:t>
      </w:r>
      <w:r w:rsidR="00752903">
        <w:rPr>
          <w:color w:val="000000"/>
        </w:rPr>
        <w:t xml:space="preserve"> </w:t>
      </w:r>
      <w:r w:rsidR="00F97193" w:rsidRPr="000A2762">
        <w:rPr>
          <w:color w:val="000000"/>
        </w:rPr>
        <w:t>руководствуясь Уставом Октябрь</w:t>
      </w:r>
      <w:r w:rsidR="00AB6D94" w:rsidRPr="000A2762">
        <w:rPr>
          <w:color w:val="000000"/>
        </w:rPr>
        <w:t>ского</w:t>
      </w:r>
      <w:r w:rsidR="009C590F" w:rsidRPr="000A2762">
        <w:rPr>
          <w:color w:val="000000"/>
        </w:rPr>
        <w:t xml:space="preserve"> сельского поселения Горьковского муниципального рай</w:t>
      </w:r>
      <w:r w:rsidR="003602F0" w:rsidRPr="000A2762">
        <w:rPr>
          <w:color w:val="000000"/>
        </w:rPr>
        <w:t>она Омской области</w:t>
      </w:r>
      <w:r w:rsidR="001452FD" w:rsidRPr="000A2762">
        <w:rPr>
          <w:color w:val="000000"/>
        </w:rPr>
        <w:t xml:space="preserve"> </w:t>
      </w:r>
    </w:p>
    <w:p w:rsidR="001452FD" w:rsidRPr="000A2762" w:rsidRDefault="001452FD" w:rsidP="009C590F">
      <w:pPr>
        <w:tabs>
          <w:tab w:val="left" w:pos="709"/>
        </w:tabs>
        <w:ind w:firstLine="709"/>
        <w:jc w:val="both"/>
        <w:rPr>
          <w:color w:val="000000"/>
        </w:rPr>
      </w:pPr>
    </w:p>
    <w:p w:rsidR="001452FD" w:rsidRPr="0048204E" w:rsidRDefault="001452FD" w:rsidP="001452FD">
      <w:r w:rsidRPr="0048204E">
        <w:t xml:space="preserve">                                                       ПОСТАНОВЛЯЮ:</w:t>
      </w:r>
    </w:p>
    <w:p w:rsidR="001452FD" w:rsidRPr="0048204E" w:rsidRDefault="001452FD" w:rsidP="001452FD"/>
    <w:p w:rsidR="001452FD" w:rsidRPr="0048204E" w:rsidRDefault="0097348B" w:rsidP="001452FD">
      <w:pPr>
        <w:jc w:val="both"/>
      </w:pPr>
      <w:r>
        <w:t xml:space="preserve">        </w:t>
      </w:r>
      <w:r w:rsidR="001452FD" w:rsidRPr="0048204E">
        <w:t xml:space="preserve"> 1.</w:t>
      </w:r>
      <w:r w:rsidR="00C0028A" w:rsidRPr="0048204E">
        <w:t xml:space="preserve"> </w:t>
      </w:r>
      <w:r w:rsidR="00B53918">
        <w:t>Утвердить результаты</w:t>
      </w:r>
      <w:r w:rsidR="00B53918">
        <w:rPr>
          <w:color w:val="000000"/>
        </w:rPr>
        <w:t xml:space="preserve"> оценки эффективности налоговых расходов, установленных нормативными правовыми актами </w:t>
      </w:r>
      <w:r w:rsidR="00B53918" w:rsidRPr="000A2762">
        <w:rPr>
          <w:color w:val="000000"/>
        </w:rPr>
        <w:t>Октябрьского сельского поселения</w:t>
      </w:r>
      <w:r w:rsidR="00B53918">
        <w:rPr>
          <w:color w:val="000000"/>
        </w:rPr>
        <w:t xml:space="preserve"> за 2021 год (Приложение №1)</w:t>
      </w:r>
    </w:p>
    <w:p w:rsidR="0018694C" w:rsidRPr="0048204E" w:rsidRDefault="0018694C" w:rsidP="009C590F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</w:rPr>
      </w:pPr>
    </w:p>
    <w:p w:rsidR="0097348B" w:rsidRDefault="00DA7202" w:rsidP="0097348B">
      <w:pPr>
        <w:jc w:val="both"/>
        <w:rPr>
          <w:color w:val="000000"/>
        </w:rPr>
      </w:pPr>
      <w:r w:rsidRPr="0048204E">
        <w:rPr>
          <w:color w:val="000000"/>
        </w:rPr>
        <w:t xml:space="preserve">          </w:t>
      </w:r>
      <w:r w:rsidR="0097348B">
        <w:rPr>
          <w:color w:val="000000"/>
        </w:rPr>
        <w:t xml:space="preserve">2. Утвердить перечень </w:t>
      </w:r>
      <w:proofErr w:type="gramStart"/>
      <w:r w:rsidR="0097348B">
        <w:rPr>
          <w:color w:val="000000"/>
        </w:rPr>
        <w:t>показателей оценки</w:t>
      </w:r>
      <w:r w:rsidR="0097348B" w:rsidRPr="00245171">
        <w:rPr>
          <w:color w:val="000000"/>
        </w:rPr>
        <w:t xml:space="preserve"> </w:t>
      </w:r>
      <w:r w:rsidR="0097348B">
        <w:rPr>
          <w:color w:val="000000"/>
        </w:rPr>
        <w:t>эффективности налоговых расходов</w:t>
      </w:r>
      <w:r w:rsidR="0097348B" w:rsidRPr="000A2762">
        <w:rPr>
          <w:color w:val="000000"/>
        </w:rPr>
        <w:t xml:space="preserve"> Октябрьского сельского поселения</w:t>
      </w:r>
      <w:proofErr w:type="gramEnd"/>
      <w:r w:rsidR="0097348B">
        <w:rPr>
          <w:color w:val="000000"/>
        </w:rPr>
        <w:t xml:space="preserve"> по земельному налогу (Приложение №2)</w:t>
      </w:r>
    </w:p>
    <w:p w:rsidR="0097348B" w:rsidRDefault="0097348B" w:rsidP="0097348B">
      <w:pPr>
        <w:jc w:val="both"/>
        <w:rPr>
          <w:color w:val="000000"/>
        </w:rPr>
      </w:pPr>
    </w:p>
    <w:p w:rsidR="0097348B" w:rsidRDefault="0097348B" w:rsidP="0097348B">
      <w:pPr>
        <w:jc w:val="both"/>
        <w:rPr>
          <w:color w:val="000000"/>
        </w:rPr>
      </w:pPr>
      <w:r>
        <w:rPr>
          <w:color w:val="000000"/>
        </w:rPr>
        <w:t xml:space="preserve">          3.  Результаты оценки налоговых расходов разместить на официальном сайте Октябрьского сельского поселения </w:t>
      </w:r>
      <w:r w:rsidR="005C6AC2">
        <w:rPr>
          <w:color w:val="000000"/>
        </w:rPr>
        <w:t xml:space="preserve">об утверждении порядка оценки эффективности налоговых расходов Горьковского муниципального района Омской области </w:t>
      </w:r>
      <w:r>
        <w:rPr>
          <w:color w:val="000000"/>
        </w:rPr>
        <w:t xml:space="preserve"> в информационно-телекоммуникационной сети «Интернет»</w:t>
      </w:r>
    </w:p>
    <w:p w:rsidR="005C6AC2" w:rsidRDefault="005C6AC2" w:rsidP="0097348B">
      <w:pPr>
        <w:jc w:val="both"/>
        <w:rPr>
          <w:color w:val="000000"/>
        </w:rPr>
      </w:pPr>
    </w:p>
    <w:p w:rsidR="005C6AC2" w:rsidRDefault="005C6AC2" w:rsidP="0097348B">
      <w:pPr>
        <w:jc w:val="both"/>
        <w:rPr>
          <w:color w:val="000000"/>
        </w:rPr>
      </w:pPr>
      <w:r>
        <w:rPr>
          <w:color w:val="000000"/>
        </w:rPr>
        <w:t xml:space="preserve">         4.  Настоящее постаноление вступает в силу с момента с его официального опубликования</w:t>
      </w:r>
    </w:p>
    <w:p w:rsidR="005C6AC2" w:rsidRDefault="005C6AC2" w:rsidP="0097348B">
      <w:pPr>
        <w:jc w:val="both"/>
        <w:rPr>
          <w:color w:val="000000"/>
        </w:rPr>
      </w:pPr>
    </w:p>
    <w:p w:rsidR="005C6AC2" w:rsidRDefault="005C6AC2" w:rsidP="0097348B">
      <w:pPr>
        <w:jc w:val="both"/>
        <w:rPr>
          <w:color w:val="000000"/>
        </w:rPr>
      </w:pPr>
      <w:r>
        <w:rPr>
          <w:color w:val="000000"/>
        </w:rPr>
        <w:t xml:space="preserve">        5.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</w:t>
      </w:r>
    </w:p>
    <w:p w:rsidR="005C6AC2" w:rsidRDefault="005C6AC2" w:rsidP="0097348B">
      <w:pPr>
        <w:jc w:val="both"/>
        <w:rPr>
          <w:color w:val="000000"/>
        </w:rPr>
      </w:pPr>
    </w:p>
    <w:p w:rsidR="005C6AC2" w:rsidRDefault="005C6AC2" w:rsidP="0097348B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C590F" w:rsidRPr="005C6AC2" w:rsidRDefault="005C6AC2" w:rsidP="005C6AC2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9C590F" w:rsidRPr="0048204E" w:rsidRDefault="009C590F" w:rsidP="009C590F">
      <w:pPr>
        <w:jc w:val="both"/>
        <w:rPr>
          <w:color w:val="000000"/>
        </w:rPr>
      </w:pPr>
    </w:p>
    <w:p w:rsidR="009C590F" w:rsidRPr="0048204E" w:rsidRDefault="00673945" w:rsidP="00673945">
      <w:pPr>
        <w:rPr>
          <w:color w:val="000000"/>
        </w:rPr>
      </w:pPr>
      <w:r w:rsidRPr="0048204E">
        <w:rPr>
          <w:color w:val="000000"/>
        </w:rPr>
        <w:t xml:space="preserve">            </w:t>
      </w:r>
      <w:r w:rsidR="0082672B" w:rsidRPr="0048204E">
        <w:rPr>
          <w:color w:val="000000"/>
        </w:rPr>
        <w:t xml:space="preserve">  </w:t>
      </w:r>
      <w:r w:rsidRPr="0048204E">
        <w:rPr>
          <w:color w:val="000000"/>
        </w:rPr>
        <w:t xml:space="preserve">   </w:t>
      </w:r>
      <w:r w:rsidR="009C590F" w:rsidRPr="0048204E">
        <w:rPr>
          <w:color w:val="000000"/>
        </w:rPr>
        <w:t xml:space="preserve">Глава  </w:t>
      </w:r>
      <w:r w:rsidR="00F97193" w:rsidRPr="0048204E">
        <w:rPr>
          <w:color w:val="000000"/>
        </w:rPr>
        <w:t>Октябрьского поселения</w:t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</w:r>
      <w:r w:rsidR="00F97193" w:rsidRPr="0048204E">
        <w:rPr>
          <w:color w:val="000000"/>
        </w:rPr>
        <w:tab/>
        <w:t xml:space="preserve">   </w:t>
      </w:r>
      <w:r w:rsidR="006809A0" w:rsidRPr="0048204E">
        <w:rPr>
          <w:color w:val="000000"/>
        </w:rPr>
        <w:t xml:space="preserve">    </w:t>
      </w:r>
      <w:r w:rsidR="005F61D1" w:rsidRPr="0048204E">
        <w:rPr>
          <w:color w:val="000000"/>
        </w:rPr>
        <w:t xml:space="preserve">        </w:t>
      </w:r>
      <w:r w:rsidR="006809A0" w:rsidRPr="0048204E">
        <w:rPr>
          <w:color w:val="000000"/>
        </w:rPr>
        <w:t xml:space="preserve"> </w:t>
      </w:r>
      <w:r w:rsidR="00BC4FD0" w:rsidRPr="0048204E">
        <w:rPr>
          <w:color w:val="000000"/>
        </w:rPr>
        <w:t>Давыдов С.В.</w:t>
      </w:r>
    </w:p>
    <w:p w:rsidR="009C590F" w:rsidRDefault="009C590F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E167F3" w:rsidRDefault="00E167F3" w:rsidP="009C590F"/>
    <w:p w:rsidR="001A39F5" w:rsidRDefault="001A39F5" w:rsidP="001A39F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1A39F5" w:rsidRPr="00C6031B" w:rsidRDefault="001A39F5" w:rsidP="001A39F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39F5" w:rsidRPr="004867F0" w:rsidRDefault="001A39F5" w:rsidP="001A39F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>оценки</w:t>
      </w:r>
    </w:p>
    <w:p w:rsidR="001A39F5" w:rsidRPr="004867F0" w:rsidRDefault="001A39F5" w:rsidP="001A39F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эффективности налоговых расходов на территории </w:t>
      </w:r>
      <w:proofErr w:type="gramStart"/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>Октябрьского</w:t>
      </w:r>
      <w:proofErr w:type="gramEnd"/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39F5" w:rsidRPr="004867F0" w:rsidRDefault="001A39F5" w:rsidP="001A39F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Горьковско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 района Омской области за 2021</w:t>
      </w:r>
      <w:r w:rsidRPr="00486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A39F5" w:rsidRDefault="001A39F5" w:rsidP="001A39F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9F5" w:rsidRPr="00584BDC" w:rsidRDefault="001A39F5" w:rsidP="001A39F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Постановлением Главы Администрации Октябрьского сельского поселения от 30.01.2020 №2 «</w:t>
      </w:r>
      <w:r w:rsidRPr="00F1281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оценки нало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говых расходов в Октябрьском Сельском поселении Горьковского района Омской области», проведена оценка эффективности действующих налоговых льгот (налоговых расходов) установленных на местном уровне. Оценка эффективности проведена на основании информации предоставленной ИФНС 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>России №9 по Омской области (приложение форма № 5-МН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«Отчет о налоговой базе и структуре начисления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местным налогам» за 2021 год)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9F5" w:rsidRPr="00584BDC" w:rsidRDefault="001A39F5" w:rsidP="001A39F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    Оценка эффективности налоговых льгот (</w:t>
      </w:r>
      <w:proofErr w:type="spellStart"/>
      <w:r w:rsidRPr="00584BDC">
        <w:rPr>
          <w:rFonts w:ascii="Times New Roman" w:hAnsi="Times New Roman" w:cs="Times New Roman"/>
          <w:color w:val="000000"/>
          <w:sz w:val="28"/>
          <w:szCs w:val="28"/>
        </w:rPr>
        <w:t>наловых</w:t>
      </w:r>
      <w:proofErr w:type="spellEnd"/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расходов) по местным налогам производится в целях оптимизации перечня действующих налоговых льгот  и их соответствия общественным интересам, повышения точности 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бюджета.</w:t>
      </w:r>
    </w:p>
    <w:p w:rsidR="001A39F5" w:rsidRPr="00584BDC" w:rsidRDefault="001A39F5" w:rsidP="001A39F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Октябрьского сельского поселения налоговые льготы установлены Решение Совета Октябрьского сельского поселения Горьковского муниципального района Омской области от 16.11.2010 года и освобождают от уплаты земельного налога в полном объеме бюджетные  учреждения, финансируемые за счет средств бюджетов муниципальных образований Горьковского муниципального района, в отношение земельных участков  используемых ими для осуществления своей деятельности. </w:t>
      </w:r>
      <w:proofErr w:type="gramEnd"/>
    </w:p>
    <w:p w:rsidR="001A39F5" w:rsidRDefault="001A39F5" w:rsidP="001A39F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 2021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год налогову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льготу в виде полного освобождения от уплаты земельного налога получили </w:t>
      </w:r>
      <w:proofErr w:type="spellStart"/>
      <w:r w:rsidRPr="00584BDC">
        <w:rPr>
          <w:rFonts w:ascii="Times New Roman" w:hAnsi="Times New Roman" w:cs="Times New Roman"/>
          <w:color w:val="000000"/>
          <w:sz w:val="28"/>
          <w:szCs w:val="28"/>
        </w:rPr>
        <w:t>четыри</w:t>
      </w:r>
      <w:proofErr w:type="spellEnd"/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организации на общую сумму  </w:t>
      </w:r>
      <w:r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  <w:r w:rsidRPr="00584BDC">
        <w:t xml:space="preserve"> 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>Применение п</w:t>
      </w:r>
      <w:r>
        <w:rPr>
          <w:rFonts w:ascii="Times New Roman" w:hAnsi="Times New Roman" w:cs="Times New Roman"/>
          <w:color w:val="000000"/>
          <w:sz w:val="28"/>
          <w:szCs w:val="28"/>
        </w:rPr>
        <w:t>референции в 2021</w:t>
      </w:r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году оказало  положительное влияние на показатель достижения  целей социально-экономической политики Октябрьского  сельского поселения. Налоговые </w:t>
      </w:r>
      <w:proofErr w:type="gramStart"/>
      <w:r w:rsidRPr="00584BDC">
        <w:rPr>
          <w:rFonts w:ascii="Times New Roman" w:hAnsi="Times New Roman" w:cs="Times New Roman"/>
          <w:color w:val="000000"/>
          <w:sz w:val="28"/>
          <w:szCs w:val="28"/>
        </w:rPr>
        <w:t>льготы</w:t>
      </w:r>
      <w:proofErr w:type="gramEnd"/>
      <w:r w:rsidRPr="00584BD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предоставляемые муниципальным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 в виде полного освобождения от уплаты земельного налога признаются эффективными и не требующими отмены.</w:t>
      </w:r>
    </w:p>
    <w:p w:rsidR="001A39F5" w:rsidRDefault="001A39F5" w:rsidP="001A39F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9F5" w:rsidRDefault="001A39F5" w:rsidP="001A39F5"/>
    <w:p w:rsidR="001A39F5" w:rsidRDefault="001A39F5" w:rsidP="001A39F5"/>
    <w:p w:rsidR="001A39F5" w:rsidRDefault="001A39F5" w:rsidP="001A39F5"/>
    <w:p w:rsidR="00E167F3" w:rsidRDefault="00E167F3" w:rsidP="009C590F"/>
    <w:p w:rsidR="00083B61" w:rsidRDefault="00083B61" w:rsidP="009C590F"/>
    <w:p w:rsidR="00083B61" w:rsidRDefault="00083B61" w:rsidP="009C590F"/>
    <w:p w:rsidR="00083B61" w:rsidRDefault="00083B61" w:rsidP="009C590F"/>
    <w:p w:rsidR="00083B61" w:rsidRDefault="00083B61" w:rsidP="009C590F"/>
    <w:p w:rsidR="00083B61" w:rsidRDefault="00083B61" w:rsidP="009C590F"/>
    <w:p w:rsidR="00083B61" w:rsidRDefault="00083B61" w:rsidP="009C590F">
      <w:pPr>
        <w:sectPr w:rsidR="00083B61" w:rsidSect="00C34C6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083B61" w:rsidRDefault="00083B61" w:rsidP="009C590F"/>
    <w:tbl>
      <w:tblPr>
        <w:tblW w:w="2500" w:type="pct"/>
        <w:tblInd w:w="93" w:type="dxa"/>
        <w:tblLook w:val="04A0"/>
      </w:tblPr>
      <w:tblGrid>
        <w:gridCol w:w="244"/>
        <w:gridCol w:w="437"/>
        <w:gridCol w:w="393"/>
        <w:gridCol w:w="393"/>
        <w:gridCol w:w="357"/>
        <w:gridCol w:w="355"/>
        <w:gridCol w:w="380"/>
        <w:gridCol w:w="375"/>
        <w:gridCol w:w="372"/>
        <w:gridCol w:w="365"/>
        <w:gridCol w:w="346"/>
        <w:gridCol w:w="365"/>
        <w:gridCol w:w="386"/>
        <w:gridCol w:w="417"/>
        <w:gridCol w:w="395"/>
        <w:gridCol w:w="372"/>
        <w:gridCol w:w="370"/>
        <w:gridCol w:w="368"/>
        <w:gridCol w:w="364"/>
        <w:gridCol w:w="283"/>
        <w:gridCol w:w="327"/>
        <w:gridCol w:w="330"/>
        <w:gridCol w:w="248"/>
        <w:gridCol w:w="248"/>
        <w:gridCol w:w="248"/>
        <w:gridCol w:w="248"/>
        <w:gridCol w:w="248"/>
        <w:gridCol w:w="248"/>
        <w:gridCol w:w="328"/>
        <w:gridCol w:w="32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8"/>
        <w:gridCol w:w="377"/>
        <w:gridCol w:w="336"/>
        <w:gridCol w:w="320"/>
        <w:gridCol w:w="357"/>
        <w:gridCol w:w="357"/>
        <w:gridCol w:w="381"/>
        <w:gridCol w:w="217"/>
        <w:gridCol w:w="217"/>
      </w:tblGrid>
      <w:tr w:rsidR="00083B61" w:rsidRPr="00083B61" w:rsidTr="00083B61">
        <w:trPr>
          <w:trHeight w:val="375"/>
        </w:trPr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B61" w:rsidRPr="00083B61" w:rsidRDefault="00083B61" w:rsidP="00083B6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sz w:val="16"/>
                <w:szCs w:val="16"/>
              </w:rPr>
            </w:pPr>
          </w:p>
        </w:tc>
      </w:tr>
      <w:tr w:rsidR="00083B61" w:rsidRPr="00083B61" w:rsidTr="00083B61">
        <w:trPr>
          <w:trHeight w:val="525"/>
        </w:trPr>
        <w:tc>
          <w:tcPr>
            <w:tcW w:w="3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083B61">
              <w:rPr>
                <w:b/>
                <w:bCs/>
                <w:color w:val="000000"/>
                <w:sz w:val="36"/>
                <w:szCs w:val="36"/>
              </w:rPr>
              <w:t xml:space="preserve">Информация о налоговых расходах Октябрьского сельского </w:t>
            </w:r>
            <w:proofErr w:type="spellStart"/>
            <w:r w:rsidRPr="00083B61">
              <w:rPr>
                <w:b/>
                <w:bCs/>
                <w:color w:val="000000"/>
                <w:sz w:val="36"/>
                <w:szCs w:val="36"/>
              </w:rPr>
              <w:t>поскления</w:t>
            </w:r>
            <w:proofErr w:type="spellEnd"/>
            <w:r w:rsidRPr="00083B61">
              <w:rPr>
                <w:b/>
                <w:bCs/>
                <w:color w:val="000000"/>
                <w:sz w:val="36"/>
                <w:szCs w:val="36"/>
              </w:rPr>
              <w:t xml:space="preserve"> Горьковского муниципального района Омской области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83B61" w:rsidRPr="00083B61" w:rsidTr="00083B61">
        <w:trPr>
          <w:trHeight w:val="720"/>
        </w:trPr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color w:val="7F7F7F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7F7F7F"/>
                <w:sz w:val="28"/>
                <w:szCs w:val="28"/>
              </w:rPr>
            </w:pPr>
            <w:r w:rsidRPr="00083B61">
              <w:rPr>
                <w:b/>
                <w:bCs/>
                <w:color w:val="7F7F7F"/>
                <w:sz w:val="28"/>
                <w:szCs w:val="28"/>
              </w:rPr>
              <w:t xml:space="preserve">I. Территориальная </w:t>
            </w:r>
            <w:proofErr w:type="spellStart"/>
            <w:r w:rsidRPr="00083B61">
              <w:rPr>
                <w:b/>
                <w:bCs/>
                <w:color w:val="7F7F7F"/>
                <w:sz w:val="28"/>
                <w:szCs w:val="28"/>
              </w:rPr>
              <w:t>при</w:t>
            </w:r>
            <w:r w:rsidRPr="00083B61">
              <w:rPr>
                <w:b/>
                <w:bCs/>
                <w:color w:val="7F7F7F"/>
                <w:sz w:val="28"/>
                <w:szCs w:val="28"/>
              </w:rPr>
              <w:lastRenderedPageBreak/>
              <w:t>належность</w:t>
            </w:r>
            <w:proofErr w:type="spellEnd"/>
          </w:p>
        </w:tc>
        <w:tc>
          <w:tcPr>
            <w:tcW w:w="2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color w:val="7F7F7F"/>
                <w:sz w:val="28"/>
                <w:szCs w:val="28"/>
              </w:rPr>
            </w:pPr>
            <w:r w:rsidRPr="00083B61">
              <w:rPr>
                <w:b/>
                <w:bCs/>
                <w:color w:val="7F7F7F"/>
                <w:sz w:val="28"/>
                <w:szCs w:val="28"/>
              </w:rPr>
              <w:lastRenderedPageBreak/>
              <w:t xml:space="preserve">II. Нормативные характеристики налоговых расходов субъекта Российской Федерации </w:t>
            </w:r>
          </w:p>
        </w:tc>
        <w:tc>
          <w:tcPr>
            <w:tcW w:w="33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7F7F7F"/>
                <w:sz w:val="28"/>
                <w:szCs w:val="28"/>
              </w:rPr>
            </w:pPr>
            <w:r w:rsidRPr="00083B61">
              <w:rPr>
                <w:b/>
                <w:bCs/>
                <w:color w:val="7F7F7F"/>
                <w:sz w:val="28"/>
                <w:szCs w:val="28"/>
              </w:rPr>
              <w:t>III. Целевые характеристики налоговых расходов субъекта Российской Федерации (муниципального образования)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7F7F7F"/>
                <w:sz w:val="28"/>
                <w:szCs w:val="28"/>
              </w:rPr>
            </w:pPr>
            <w:r w:rsidRPr="00083B61">
              <w:rPr>
                <w:b/>
                <w:bCs/>
                <w:color w:val="7F7F7F"/>
                <w:sz w:val="28"/>
                <w:szCs w:val="28"/>
              </w:rPr>
              <w:t>IV. Фискальные характеристики налогового расхода Российской Федерации</w:t>
            </w:r>
          </w:p>
        </w:tc>
        <w:tc>
          <w:tcPr>
            <w:tcW w:w="1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color w:val="7F7F7F"/>
                <w:sz w:val="28"/>
                <w:szCs w:val="28"/>
              </w:rPr>
            </w:pPr>
            <w:r w:rsidRPr="00083B61">
              <w:rPr>
                <w:b/>
                <w:bCs/>
                <w:color w:val="7F7F7F"/>
                <w:sz w:val="28"/>
                <w:szCs w:val="28"/>
              </w:rPr>
              <w:t>V. Результат оценки эффективности налоговых расходов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color w:val="7F7F7F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rPr>
                <w:color w:val="7F7F7F"/>
                <w:sz w:val="28"/>
                <w:szCs w:val="28"/>
              </w:rPr>
            </w:pPr>
          </w:p>
        </w:tc>
      </w:tr>
      <w:tr w:rsidR="00083B61" w:rsidRPr="00083B61" w:rsidTr="00083B61">
        <w:trPr>
          <w:trHeight w:val="3960"/>
        </w:trPr>
        <w:tc>
          <w:tcPr>
            <w:tcW w:w="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83B6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83B6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83B6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Нормативные правовые акты (далее – Н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ПА) муниципального образования, которыми предусма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триваются налоговые льготы, освобождения и иные пр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еференции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Структурные единицы НПА муниципал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ьного образования, которыми предусматриваются нал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оговые льготы, освобождения и иные преференции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Условия предоставления налоговых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льгот, освобождений и иных преференций для платель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щиков налогов, установленные НПА субъекта Россий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Целевая категория плательщиков на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логов, для которых предусмотрены налоговые льгот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ы, освобождения и иные преференции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Даты вступления в силу положений НП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А муниципального образования, устанавливающих нал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оговые льготы, освобождения и иные преференции по н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алогам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Даты начала действия предоставлен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ного НПА муниципального образования права на налог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овые льготы, освобождения и иные преференции по нал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огам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Период действия налоговых льгот, ос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вобождений и иных преференций по налогам, предоста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вленных НПА муниципального образования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Дата прекращения действия налогов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ых льгот, освобождений и иных преференций по налогам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, установленная НПА муниципального образования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Наименование налоговых льгот, осв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обождений и иных преференций по налогам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Целевая категория налогового расх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ода муниципального образования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Наименование муниципальной прогр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аммы  ( по </w:t>
            </w:r>
            <w:proofErr w:type="spellStart"/>
            <w:r w:rsidRPr="00083B61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83B61">
              <w:rPr>
                <w:b/>
                <w:bCs/>
                <w:sz w:val="20"/>
                <w:szCs w:val="20"/>
              </w:rPr>
              <w:t xml:space="preserve"> налоговым расходам </w:t>
            </w:r>
            <w:proofErr w:type="gramStart"/>
            <w:r w:rsidRPr="00083B61">
              <w:rPr>
                <w:b/>
                <w:bCs/>
                <w:sz w:val="20"/>
                <w:szCs w:val="20"/>
              </w:rPr>
              <w:t>-Н</w:t>
            </w:r>
            <w:proofErr w:type="gramEnd"/>
            <w:r w:rsidRPr="00083B61">
              <w:rPr>
                <w:b/>
                <w:bCs/>
                <w:sz w:val="20"/>
                <w:szCs w:val="20"/>
              </w:rPr>
              <w:t>ПА, ус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танавливающего социально-экономическую политику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муниципального образования)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Цели предоставления налоговых льгот, освобож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дений и иных преференций для плательщиков налогов, установлен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ных НПА муниципального образования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Наименования налогов, по которым пр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едусматриваются налоговые льготы, освобождения и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иные преференции, </w:t>
            </w:r>
            <w:proofErr w:type="spellStart"/>
            <w:r w:rsidRPr="00083B61">
              <w:rPr>
                <w:b/>
                <w:bCs/>
                <w:sz w:val="20"/>
                <w:szCs w:val="20"/>
              </w:rPr>
              <w:t>установленныеНПА</w:t>
            </w:r>
            <w:proofErr w:type="spellEnd"/>
            <w:r w:rsidRPr="00083B61">
              <w:rPr>
                <w:b/>
                <w:bCs/>
                <w:sz w:val="20"/>
                <w:szCs w:val="20"/>
              </w:rPr>
              <w:t xml:space="preserve"> муниципальног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 образования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Вид налоговых льгот, освобождений и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иных преференций, определяющий особенности предо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ставленных отдельным категориям плательщиков нал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огов преимуществ по сравнению с другими плательщик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Размер налоговой ставки, в предела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х которой предоставляются налоговые льготы, освоб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ождения и иные преференции по налогам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Показатель (индикатор) достижени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я целей муниципальных программ муниципального обр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азования и (или) целей социально-экономической по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литики муниципального образования, не относящихс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я к муниципальным программам муниципального образ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ования, в связи с предоставлением налоговых льгот, о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свобождений и иных преференций по налогам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Код вида экономической деятельнос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ти (по ОКВЭД), к которому относится налоговый расход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(если налоговый расход обусловлен налоговыми льго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тами, освобождениями и иными преференциями для отд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ельных видов экономической деятельности)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Принадлежность налогового расхода к группе полномочий в соответствии с методикой распределения дот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аций (постановление Правительства Российской Федерации от 22.11.2004 №670)</w:t>
            </w: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Плательщик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Объем налоговых льгот, освобождений и иных преференций, тыс. рублей</w:t>
            </w:r>
          </w:p>
        </w:tc>
        <w:tc>
          <w:tcPr>
            <w:tcW w:w="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B61">
              <w:rPr>
                <w:b/>
                <w:bCs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преференцией, установленными НПА субъектов муниципального образования единиц</w:t>
            </w:r>
            <w:proofErr w:type="gramEnd"/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83B61">
              <w:rPr>
                <w:b/>
                <w:bCs/>
                <w:sz w:val="20"/>
                <w:szCs w:val="20"/>
              </w:rPr>
              <w:t>Востребованность</w:t>
            </w:r>
            <w:proofErr w:type="spellEnd"/>
            <w:r w:rsidRPr="00083B61">
              <w:rPr>
                <w:b/>
                <w:bCs/>
                <w:sz w:val="20"/>
                <w:szCs w:val="20"/>
              </w:rPr>
              <w:t xml:space="preserve"> налогового расх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ода</w:t>
            </w:r>
          </w:p>
        </w:tc>
        <w:tc>
          <w:tcPr>
            <w:tcW w:w="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Соответствие налоговых расходов ц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елям 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Вклад налоговых расходов в измен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ение значения индикатора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Эффективность налоговой льготы (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да/нет)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Эффективность налоговой льготы (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комментарии)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83B61">
              <w:rPr>
                <w:b/>
                <w:bCs/>
                <w:sz w:val="20"/>
                <w:szCs w:val="20"/>
              </w:rPr>
              <w:lastRenderedPageBreak/>
              <w:t>Нормативнй</w:t>
            </w:r>
            <w:proofErr w:type="spellEnd"/>
            <w:r w:rsidRPr="00083B61">
              <w:rPr>
                <w:b/>
                <w:bCs/>
                <w:sz w:val="20"/>
                <w:szCs w:val="20"/>
              </w:rPr>
              <w:t xml:space="preserve"> правовой акт, устанавли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вающий правила проведения оценки налоговых расход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ов муниципального образования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B61" w:rsidRPr="00083B61" w:rsidTr="00083B61">
        <w:trPr>
          <w:trHeight w:val="900"/>
        </w:trPr>
        <w:tc>
          <w:tcPr>
            <w:tcW w:w="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Номер группы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Полномочие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6 лет, предшествующих отчетному финансовому году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Отчетный финансовый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Текущий финансовый 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lastRenderedPageBreak/>
              <w:t>Прогнозный период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6 лет, предшествующих отчетному финансовому году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>Отчетный финансовый</w:t>
            </w:r>
            <w:r w:rsidRPr="00083B61">
              <w:rPr>
                <w:b/>
                <w:bCs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B61" w:rsidRPr="00083B61" w:rsidTr="00083B61">
        <w:trPr>
          <w:trHeight w:val="1080"/>
        </w:trPr>
        <w:tc>
          <w:tcPr>
            <w:tcW w:w="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n-6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n-3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n-2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proofErr w:type="spellStart"/>
            <w:r w:rsidRPr="00083B61">
              <w:rPr>
                <w:b/>
                <w:bCs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n+1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n+2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n+3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n+4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n-6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n-3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n-2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proofErr w:type="spellStart"/>
            <w:r w:rsidRPr="00083B61">
              <w:rPr>
                <w:b/>
                <w:bCs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  <w:r w:rsidRPr="00083B61">
              <w:rPr>
                <w:b/>
                <w:bCs/>
                <w:sz w:val="20"/>
                <w:szCs w:val="20"/>
              </w:rPr>
              <w:t xml:space="preserve">Год </w:t>
            </w:r>
            <w:r w:rsidRPr="00083B61">
              <w:rPr>
                <w:b/>
                <w:bCs/>
                <w:sz w:val="20"/>
                <w:szCs w:val="20"/>
                <w:vertAlign w:val="subscript"/>
              </w:rPr>
              <w:t>n-1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61" w:rsidRPr="00083B61" w:rsidRDefault="00083B61" w:rsidP="00083B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83B61" w:rsidRPr="00083B61" w:rsidTr="00083B61">
        <w:trPr>
          <w:trHeight w:val="330"/>
        </w:trPr>
        <w:tc>
          <w:tcPr>
            <w:tcW w:w="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lastRenderedPageBreak/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19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20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22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23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26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27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28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29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30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32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33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36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37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38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39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41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  <w:r w:rsidRPr="00083B61">
              <w:rPr>
                <w:b/>
                <w:bCs/>
              </w:rPr>
              <w:t>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b/>
                <w:bCs/>
              </w:rPr>
            </w:pPr>
          </w:p>
        </w:tc>
      </w:tr>
      <w:tr w:rsidR="00083B61" w:rsidRPr="00083B61" w:rsidTr="00083B61">
        <w:trPr>
          <w:trHeight w:val="4830"/>
        </w:trPr>
        <w:tc>
          <w:tcPr>
            <w:tcW w:w="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 Октябрьское сельское поселение Горьковского муниципального района Омской области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 Решение Совета Октябрьского сельского поселения Г</w:t>
            </w:r>
            <w:r w:rsidRPr="00083B61">
              <w:rPr>
                <w:sz w:val="20"/>
                <w:szCs w:val="20"/>
              </w:rPr>
              <w:lastRenderedPageBreak/>
              <w:t>орьковского муниципального района Омской области о</w:t>
            </w:r>
            <w:r w:rsidRPr="00083B61">
              <w:rPr>
                <w:sz w:val="20"/>
                <w:szCs w:val="20"/>
              </w:rPr>
              <w:lastRenderedPageBreak/>
              <w:t>т 16.11.2010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 </w:t>
            </w:r>
            <w:proofErr w:type="gramStart"/>
            <w:r w:rsidRPr="00083B61">
              <w:rPr>
                <w:sz w:val="20"/>
                <w:szCs w:val="20"/>
              </w:rPr>
              <w:t>Освободить от уплаты земельного налога в полном об</w:t>
            </w:r>
            <w:r w:rsidRPr="00083B61">
              <w:rPr>
                <w:sz w:val="20"/>
                <w:szCs w:val="20"/>
              </w:rPr>
              <w:lastRenderedPageBreak/>
              <w:t>ъеме бюджетные  учреждения, финансируемые за счет с</w:t>
            </w:r>
            <w:r w:rsidRPr="00083B61">
              <w:rPr>
                <w:sz w:val="20"/>
                <w:szCs w:val="20"/>
              </w:rPr>
              <w:lastRenderedPageBreak/>
              <w:t>редств бюджетов муниципальных образований Горько</w:t>
            </w:r>
            <w:r w:rsidRPr="00083B61">
              <w:rPr>
                <w:sz w:val="20"/>
                <w:szCs w:val="20"/>
              </w:rPr>
              <w:lastRenderedPageBreak/>
              <w:t xml:space="preserve">вского муниципального района, в отношение </w:t>
            </w:r>
            <w:proofErr w:type="spellStart"/>
            <w:r w:rsidRPr="00083B61">
              <w:rPr>
                <w:sz w:val="20"/>
                <w:szCs w:val="20"/>
              </w:rPr>
              <w:t>з</w:t>
            </w:r>
            <w:proofErr w:type="spellEnd"/>
            <w:r w:rsidRPr="00083B61">
              <w:rPr>
                <w:sz w:val="20"/>
                <w:szCs w:val="20"/>
              </w:rPr>
              <w:t>/у исполь</w:t>
            </w:r>
            <w:r w:rsidRPr="00083B61">
              <w:rPr>
                <w:sz w:val="20"/>
                <w:szCs w:val="20"/>
              </w:rPr>
              <w:lastRenderedPageBreak/>
              <w:t>зуемых ими для осуществления своей деятельности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proofErr w:type="gramStart"/>
            <w:r w:rsidRPr="00083B61">
              <w:rPr>
                <w:sz w:val="20"/>
                <w:szCs w:val="20"/>
              </w:rPr>
              <w:lastRenderedPageBreak/>
              <w:t>бюджетные  учреждения, финансируемые за счет средс</w:t>
            </w:r>
            <w:r w:rsidRPr="00083B61">
              <w:rPr>
                <w:sz w:val="20"/>
                <w:szCs w:val="20"/>
              </w:rPr>
              <w:lastRenderedPageBreak/>
              <w:t>тв бюджетов муниципальных образований Горьковско</w:t>
            </w:r>
            <w:r w:rsidRPr="00083B61">
              <w:rPr>
                <w:sz w:val="20"/>
                <w:szCs w:val="20"/>
              </w:rPr>
              <w:lastRenderedPageBreak/>
              <w:t xml:space="preserve">го муниципального района, в отношение </w:t>
            </w:r>
            <w:proofErr w:type="spellStart"/>
            <w:r w:rsidRPr="00083B61">
              <w:rPr>
                <w:sz w:val="20"/>
                <w:szCs w:val="20"/>
              </w:rPr>
              <w:t>з</w:t>
            </w:r>
            <w:proofErr w:type="spellEnd"/>
            <w:r w:rsidRPr="00083B61">
              <w:rPr>
                <w:sz w:val="20"/>
                <w:szCs w:val="20"/>
              </w:rPr>
              <w:t>/у используем</w:t>
            </w:r>
            <w:r w:rsidRPr="00083B61">
              <w:rPr>
                <w:sz w:val="20"/>
                <w:szCs w:val="20"/>
              </w:rPr>
              <w:lastRenderedPageBreak/>
              <w:t>ых ими для осуществления своей деятельности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lastRenderedPageBreak/>
              <w:t>16.11.2010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01.01.2011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неограниченный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 не установлено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Постановление Главы </w:t>
            </w:r>
            <w:proofErr w:type="gramStart"/>
            <w:r w:rsidRPr="00083B61">
              <w:rPr>
                <w:sz w:val="20"/>
                <w:szCs w:val="20"/>
              </w:rPr>
              <w:t>Октябрьского</w:t>
            </w:r>
            <w:proofErr w:type="gramEnd"/>
            <w:r w:rsidRPr="00083B61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Рост конкурентоспособности экономики </w:t>
            </w:r>
            <w:proofErr w:type="spellStart"/>
            <w:r w:rsidRPr="00083B61">
              <w:rPr>
                <w:sz w:val="20"/>
                <w:szCs w:val="20"/>
              </w:rPr>
              <w:t>Октябрььского</w:t>
            </w:r>
            <w:proofErr w:type="spellEnd"/>
            <w:r w:rsidRPr="00083B61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Освобождение от налога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1,5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Не определен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rPr>
                <w:sz w:val="22"/>
                <w:szCs w:val="22"/>
              </w:rPr>
            </w:pPr>
            <w:r w:rsidRPr="00083B61">
              <w:rPr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112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130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132</w:t>
            </w:r>
          </w:p>
        </w:tc>
        <w:tc>
          <w:tcPr>
            <w:tcW w:w="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proofErr w:type="spellStart"/>
            <w:r w:rsidRPr="00083B61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Востребован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3B61">
              <w:rPr>
                <w:color w:val="000000"/>
                <w:sz w:val="20"/>
                <w:szCs w:val="20"/>
              </w:rPr>
              <w:t>Соответсвует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color w:val="000000"/>
                <w:sz w:val="20"/>
                <w:szCs w:val="20"/>
              </w:rPr>
            </w:pPr>
            <w:r w:rsidRPr="00083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да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t>Применение преференции в 2021 году оказывает полож</w:t>
            </w:r>
            <w:r w:rsidRPr="00083B61">
              <w:rPr>
                <w:sz w:val="20"/>
                <w:szCs w:val="20"/>
              </w:rPr>
              <w:lastRenderedPageBreak/>
              <w:t>ительное влияние на показатель достижения  целей со</w:t>
            </w:r>
            <w:r w:rsidRPr="00083B61">
              <w:rPr>
                <w:sz w:val="20"/>
                <w:szCs w:val="20"/>
              </w:rPr>
              <w:lastRenderedPageBreak/>
              <w:t>циально-экономической политики Октябрьского  сел</w:t>
            </w:r>
            <w:r w:rsidRPr="00083B61">
              <w:rPr>
                <w:sz w:val="20"/>
                <w:szCs w:val="20"/>
              </w:rPr>
              <w:lastRenderedPageBreak/>
              <w:t xml:space="preserve">ьского поселения Налоговая ставка </w:t>
            </w:r>
            <w:proofErr w:type="spellStart"/>
            <w:r w:rsidRPr="00083B61">
              <w:rPr>
                <w:sz w:val="20"/>
                <w:szCs w:val="20"/>
              </w:rPr>
              <w:t>востребованна</w:t>
            </w:r>
            <w:proofErr w:type="spellEnd"/>
            <w:proofErr w:type="gramStart"/>
            <w:r w:rsidRPr="00083B61">
              <w:rPr>
                <w:sz w:val="20"/>
                <w:szCs w:val="20"/>
              </w:rPr>
              <w:t xml:space="preserve">.. </w:t>
            </w:r>
            <w:r w:rsidRPr="00083B61">
              <w:rPr>
                <w:sz w:val="20"/>
                <w:szCs w:val="20"/>
              </w:rPr>
              <w:lastRenderedPageBreak/>
              <w:t>.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  <w:r w:rsidRPr="00083B61">
              <w:rPr>
                <w:sz w:val="20"/>
                <w:szCs w:val="20"/>
              </w:rPr>
              <w:lastRenderedPageBreak/>
              <w:t xml:space="preserve">Постановление Главы Октябрьского </w:t>
            </w:r>
            <w:proofErr w:type="spellStart"/>
            <w:r w:rsidRPr="00083B61">
              <w:rPr>
                <w:sz w:val="20"/>
                <w:szCs w:val="20"/>
              </w:rPr>
              <w:t>с</w:t>
            </w:r>
            <w:proofErr w:type="gramStart"/>
            <w:r w:rsidRPr="00083B61">
              <w:rPr>
                <w:sz w:val="20"/>
                <w:szCs w:val="20"/>
              </w:rPr>
              <w:t>.п</w:t>
            </w:r>
            <w:proofErr w:type="spellEnd"/>
            <w:proofErr w:type="gramEnd"/>
            <w:r w:rsidRPr="00083B61">
              <w:rPr>
                <w:sz w:val="20"/>
                <w:szCs w:val="20"/>
              </w:rPr>
              <w:t xml:space="preserve"> от 30.01.2020 №2      </w:t>
            </w:r>
            <w:r w:rsidRPr="00083B61">
              <w:rPr>
                <w:sz w:val="20"/>
                <w:szCs w:val="20"/>
              </w:rPr>
              <w:lastRenderedPageBreak/>
              <w:t xml:space="preserve">"Об утверждении порядка оценки налоговых расходов </w:t>
            </w:r>
            <w:r w:rsidRPr="00083B61">
              <w:rPr>
                <w:sz w:val="20"/>
                <w:szCs w:val="20"/>
              </w:rPr>
              <w:lastRenderedPageBreak/>
              <w:t>в Октябрьском с.п."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B61" w:rsidRPr="00083B61" w:rsidRDefault="00083B61" w:rsidP="00083B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B61" w:rsidRPr="0048204E" w:rsidRDefault="00083B61" w:rsidP="009C590F"/>
    <w:sectPr w:rsidR="00083B61" w:rsidRPr="0048204E" w:rsidSect="00083B61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7F" w:rsidRDefault="002F0D7F" w:rsidP="009618F3">
      <w:r>
        <w:separator/>
      </w:r>
    </w:p>
  </w:endnote>
  <w:endnote w:type="continuationSeparator" w:id="0">
    <w:p w:rsidR="002F0D7F" w:rsidRDefault="002F0D7F" w:rsidP="0096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7F" w:rsidRDefault="002F0D7F" w:rsidP="009618F3">
      <w:r>
        <w:separator/>
      </w:r>
    </w:p>
  </w:footnote>
  <w:footnote w:type="continuationSeparator" w:id="0">
    <w:p w:rsidR="002F0D7F" w:rsidRDefault="002F0D7F" w:rsidP="0096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5"/>
    <w:rsid w:val="00012C93"/>
    <w:rsid w:val="000466C3"/>
    <w:rsid w:val="00055397"/>
    <w:rsid w:val="00066339"/>
    <w:rsid w:val="00083B61"/>
    <w:rsid w:val="000A2762"/>
    <w:rsid w:val="000A797C"/>
    <w:rsid w:val="000C026A"/>
    <w:rsid w:val="000E01AC"/>
    <w:rsid w:val="000E3322"/>
    <w:rsid w:val="000F1216"/>
    <w:rsid w:val="000F44AA"/>
    <w:rsid w:val="001109CF"/>
    <w:rsid w:val="00126FAB"/>
    <w:rsid w:val="00133448"/>
    <w:rsid w:val="001349D2"/>
    <w:rsid w:val="00140F07"/>
    <w:rsid w:val="001452FD"/>
    <w:rsid w:val="0017174C"/>
    <w:rsid w:val="0018694C"/>
    <w:rsid w:val="001A2480"/>
    <w:rsid w:val="001A39F5"/>
    <w:rsid w:val="001D38D6"/>
    <w:rsid w:val="001E6AA2"/>
    <w:rsid w:val="001F3357"/>
    <w:rsid w:val="002316B8"/>
    <w:rsid w:val="00245171"/>
    <w:rsid w:val="002533C2"/>
    <w:rsid w:val="002920BE"/>
    <w:rsid w:val="002A40E4"/>
    <w:rsid w:val="002E3047"/>
    <w:rsid w:val="002F0D7F"/>
    <w:rsid w:val="002F4B0C"/>
    <w:rsid w:val="002F4F71"/>
    <w:rsid w:val="00303D56"/>
    <w:rsid w:val="003266EE"/>
    <w:rsid w:val="00334C21"/>
    <w:rsid w:val="00337E1D"/>
    <w:rsid w:val="003602F0"/>
    <w:rsid w:val="00361BB3"/>
    <w:rsid w:val="00364334"/>
    <w:rsid w:val="00381B91"/>
    <w:rsid w:val="00395D66"/>
    <w:rsid w:val="003B78A8"/>
    <w:rsid w:val="003C199B"/>
    <w:rsid w:val="003D7E05"/>
    <w:rsid w:val="003E2F18"/>
    <w:rsid w:val="003F32C1"/>
    <w:rsid w:val="004154A7"/>
    <w:rsid w:val="00416E51"/>
    <w:rsid w:val="00420502"/>
    <w:rsid w:val="004330AE"/>
    <w:rsid w:val="00470C45"/>
    <w:rsid w:val="00471E4F"/>
    <w:rsid w:val="0048204E"/>
    <w:rsid w:val="00487AA3"/>
    <w:rsid w:val="0049196F"/>
    <w:rsid w:val="004B210F"/>
    <w:rsid w:val="004C0CA6"/>
    <w:rsid w:val="004D0423"/>
    <w:rsid w:val="00554E58"/>
    <w:rsid w:val="00587D16"/>
    <w:rsid w:val="00587F60"/>
    <w:rsid w:val="00592C99"/>
    <w:rsid w:val="0059538C"/>
    <w:rsid w:val="00597F90"/>
    <w:rsid w:val="005A2384"/>
    <w:rsid w:val="005B2821"/>
    <w:rsid w:val="005C46D1"/>
    <w:rsid w:val="005C6AC2"/>
    <w:rsid w:val="005D1797"/>
    <w:rsid w:val="005F61D1"/>
    <w:rsid w:val="006232C9"/>
    <w:rsid w:val="0063420A"/>
    <w:rsid w:val="00635723"/>
    <w:rsid w:val="0064084C"/>
    <w:rsid w:val="00657352"/>
    <w:rsid w:val="00673945"/>
    <w:rsid w:val="0067453C"/>
    <w:rsid w:val="00674CDC"/>
    <w:rsid w:val="006809A0"/>
    <w:rsid w:val="00685B93"/>
    <w:rsid w:val="006901A0"/>
    <w:rsid w:val="006B5740"/>
    <w:rsid w:val="006F046B"/>
    <w:rsid w:val="006F705C"/>
    <w:rsid w:val="007018B0"/>
    <w:rsid w:val="00711868"/>
    <w:rsid w:val="00713F62"/>
    <w:rsid w:val="00715B7F"/>
    <w:rsid w:val="00752903"/>
    <w:rsid w:val="00783BAF"/>
    <w:rsid w:val="00785159"/>
    <w:rsid w:val="007928C3"/>
    <w:rsid w:val="0079670B"/>
    <w:rsid w:val="007B7686"/>
    <w:rsid w:val="007C0165"/>
    <w:rsid w:val="007C65EF"/>
    <w:rsid w:val="007D334D"/>
    <w:rsid w:val="007D35DD"/>
    <w:rsid w:val="007D4E42"/>
    <w:rsid w:val="007F1B8B"/>
    <w:rsid w:val="007F5B4D"/>
    <w:rsid w:val="00817131"/>
    <w:rsid w:val="0082432D"/>
    <w:rsid w:val="0082672B"/>
    <w:rsid w:val="008271D6"/>
    <w:rsid w:val="00852468"/>
    <w:rsid w:val="00856CD7"/>
    <w:rsid w:val="00862A6F"/>
    <w:rsid w:val="0088639A"/>
    <w:rsid w:val="008A664E"/>
    <w:rsid w:val="008D4D19"/>
    <w:rsid w:val="008D6A3F"/>
    <w:rsid w:val="008E2CA2"/>
    <w:rsid w:val="00905A9D"/>
    <w:rsid w:val="00906E9A"/>
    <w:rsid w:val="00945378"/>
    <w:rsid w:val="009454F8"/>
    <w:rsid w:val="0094598B"/>
    <w:rsid w:val="00946108"/>
    <w:rsid w:val="00954627"/>
    <w:rsid w:val="009618F3"/>
    <w:rsid w:val="0097348B"/>
    <w:rsid w:val="00973774"/>
    <w:rsid w:val="00977435"/>
    <w:rsid w:val="00977EED"/>
    <w:rsid w:val="009B1022"/>
    <w:rsid w:val="009C590F"/>
    <w:rsid w:val="009E010D"/>
    <w:rsid w:val="00A12AAA"/>
    <w:rsid w:val="00A231D4"/>
    <w:rsid w:val="00A264A8"/>
    <w:rsid w:val="00A37D07"/>
    <w:rsid w:val="00A5373E"/>
    <w:rsid w:val="00A94C06"/>
    <w:rsid w:val="00AB6D94"/>
    <w:rsid w:val="00AD5844"/>
    <w:rsid w:val="00B20627"/>
    <w:rsid w:val="00B33535"/>
    <w:rsid w:val="00B53918"/>
    <w:rsid w:val="00B55D55"/>
    <w:rsid w:val="00B62D0D"/>
    <w:rsid w:val="00B63B5D"/>
    <w:rsid w:val="00B66CB4"/>
    <w:rsid w:val="00B74810"/>
    <w:rsid w:val="00B776EC"/>
    <w:rsid w:val="00B90D2A"/>
    <w:rsid w:val="00BC4FD0"/>
    <w:rsid w:val="00BD01DC"/>
    <w:rsid w:val="00BD1F04"/>
    <w:rsid w:val="00BD773C"/>
    <w:rsid w:val="00BE3065"/>
    <w:rsid w:val="00BF1D7D"/>
    <w:rsid w:val="00C0028A"/>
    <w:rsid w:val="00C34C69"/>
    <w:rsid w:val="00C626E3"/>
    <w:rsid w:val="00C66C7D"/>
    <w:rsid w:val="00CA63F4"/>
    <w:rsid w:val="00CE11C9"/>
    <w:rsid w:val="00CE3254"/>
    <w:rsid w:val="00CE3B62"/>
    <w:rsid w:val="00CE4106"/>
    <w:rsid w:val="00D11EDE"/>
    <w:rsid w:val="00D225CE"/>
    <w:rsid w:val="00D6269F"/>
    <w:rsid w:val="00D7375D"/>
    <w:rsid w:val="00D8035A"/>
    <w:rsid w:val="00DA7202"/>
    <w:rsid w:val="00DC667A"/>
    <w:rsid w:val="00DD1717"/>
    <w:rsid w:val="00DD3542"/>
    <w:rsid w:val="00DD41F1"/>
    <w:rsid w:val="00DE24FB"/>
    <w:rsid w:val="00DF1D4B"/>
    <w:rsid w:val="00DF2AF5"/>
    <w:rsid w:val="00E024BE"/>
    <w:rsid w:val="00E0460B"/>
    <w:rsid w:val="00E167F3"/>
    <w:rsid w:val="00E217D9"/>
    <w:rsid w:val="00E347D5"/>
    <w:rsid w:val="00E43EF5"/>
    <w:rsid w:val="00E5145E"/>
    <w:rsid w:val="00E550E3"/>
    <w:rsid w:val="00E62544"/>
    <w:rsid w:val="00E665A0"/>
    <w:rsid w:val="00E67F17"/>
    <w:rsid w:val="00E77D50"/>
    <w:rsid w:val="00EB4AFF"/>
    <w:rsid w:val="00EB678B"/>
    <w:rsid w:val="00ED29CE"/>
    <w:rsid w:val="00EE14E5"/>
    <w:rsid w:val="00F0046B"/>
    <w:rsid w:val="00F03EA9"/>
    <w:rsid w:val="00F10BE3"/>
    <w:rsid w:val="00F2097F"/>
    <w:rsid w:val="00F318C8"/>
    <w:rsid w:val="00F33027"/>
    <w:rsid w:val="00F362C8"/>
    <w:rsid w:val="00F55569"/>
    <w:rsid w:val="00F73518"/>
    <w:rsid w:val="00F93F2C"/>
    <w:rsid w:val="00F94798"/>
    <w:rsid w:val="00F97193"/>
    <w:rsid w:val="00F976C6"/>
    <w:rsid w:val="00FC6ED2"/>
    <w:rsid w:val="00FD3F77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B91"/>
    <w:pPr>
      <w:keepNext/>
      <w:jc w:val="center"/>
      <w:outlineLvl w:val="0"/>
    </w:pPr>
    <w:rPr>
      <w:rFonts w:ascii="Univers" w:hAnsi="Univer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59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14E5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EE1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unhideWhenUsed/>
    <w:rsid w:val="00EE14E5"/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rsid w:val="00EE14E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E14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EE14E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81B91"/>
    <w:rPr>
      <w:rFonts w:ascii="Univers" w:eastAsia="Times New Roman" w:hAnsi="Univers" w:cs="Times New Roman"/>
      <w:b/>
      <w:sz w:val="32"/>
      <w:szCs w:val="20"/>
      <w:lang w:eastAsia="ru-RU"/>
    </w:rPr>
  </w:style>
  <w:style w:type="character" w:styleId="a6">
    <w:name w:val="Hyperlink"/>
    <w:rsid w:val="00381B9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C5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D0423"/>
  </w:style>
  <w:style w:type="paragraph" w:styleId="a7">
    <w:name w:val="Balloon Text"/>
    <w:basedOn w:val="a"/>
    <w:link w:val="a8"/>
    <w:uiPriority w:val="99"/>
    <w:semiHidden/>
    <w:unhideWhenUsed/>
    <w:rsid w:val="006232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232C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1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61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1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618F3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A39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FBBE-2F27-4A88-86ED-656C2FD5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2022-02-21T02:54:00Z</cp:lastPrinted>
  <dcterms:created xsi:type="dcterms:W3CDTF">2022-08-22T02:45:00Z</dcterms:created>
  <dcterms:modified xsi:type="dcterms:W3CDTF">2022-08-24T09:17:00Z</dcterms:modified>
</cp:coreProperties>
</file>